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4" w:rsidRPr="00FB5DE3" w:rsidRDefault="002524E5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335EEC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E87B9B" w:rsidRDefault="00E87B9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E87B9B" w:rsidRPr="00FB5DE3" w:rsidRDefault="00E87B9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Программа по реализации основных положений Послания Президента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FE3A73">
        <w:rPr>
          <w:rFonts w:ascii="Times New Roman" w:hAnsi="Times New Roman" w:cs="Times New Roman"/>
          <w:b/>
          <w:sz w:val="28"/>
          <w:szCs w:val="28"/>
        </w:rPr>
        <w:t>3</w:t>
      </w:r>
      <w:r w:rsidRPr="000C670F">
        <w:rPr>
          <w:rFonts w:ascii="Times New Roman" w:hAnsi="Times New Roman" w:cs="Times New Roman"/>
          <w:b/>
          <w:sz w:val="28"/>
          <w:szCs w:val="28"/>
        </w:rPr>
        <w:t xml:space="preserve"> год  по городскому округу город Салават Республики Башкортостан</w:t>
      </w:r>
    </w:p>
    <w:p w:rsidR="00335EEC" w:rsidRDefault="00335EEC" w:rsidP="00F86808">
      <w:pPr>
        <w:ind w:left="992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2687"/>
        <w:gridCol w:w="3889"/>
        <w:gridCol w:w="1931"/>
        <w:gridCol w:w="2989"/>
        <w:gridCol w:w="2617"/>
      </w:tblGrid>
      <w:tr w:rsidR="0025733D" w:rsidRPr="00FE3A73" w:rsidTr="0025733D">
        <w:tc>
          <w:tcPr>
            <w:tcW w:w="673" w:type="dxa"/>
          </w:tcPr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3889" w:type="dxa"/>
          </w:tcPr>
          <w:p w:rsidR="00344B11" w:rsidRPr="00D92B43" w:rsidRDefault="00344B11" w:rsidP="00E240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240E1" w:rsidRPr="00D92B43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931" w:type="dxa"/>
          </w:tcPr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89" w:type="dxa"/>
          </w:tcPr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617" w:type="dxa"/>
          </w:tcPr>
          <w:p w:rsidR="00344B11" w:rsidRPr="00D92B43" w:rsidRDefault="00344B11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5733D" w:rsidRPr="00FE3A73" w:rsidTr="0025733D">
        <w:tc>
          <w:tcPr>
            <w:tcW w:w="673" w:type="dxa"/>
            <w:vMerge w:val="restart"/>
          </w:tcPr>
          <w:p w:rsidR="007C4709" w:rsidRPr="00D92B43" w:rsidRDefault="007C4709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Merge w:val="restart"/>
          </w:tcPr>
          <w:p w:rsidR="007C4709" w:rsidRPr="00D92B43" w:rsidRDefault="007C4709" w:rsidP="00CE3A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политика </w:t>
            </w:r>
          </w:p>
        </w:tc>
        <w:tc>
          <w:tcPr>
            <w:tcW w:w="3889" w:type="dxa"/>
          </w:tcPr>
          <w:p w:rsidR="007C4709" w:rsidRPr="00D92B43" w:rsidRDefault="007C4709" w:rsidP="000C670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Комплексной инвестиционной программы социально-экономического развития городского округа город Салават Республики Башкортостан на 2011-2015 годы </w:t>
            </w:r>
          </w:p>
        </w:tc>
        <w:tc>
          <w:tcPr>
            <w:tcW w:w="1931" w:type="dxa"/>
          </w:tcPr>
          <w:p w:rsidR="007C4709" w:rsidRPr="00D92B43" w:rsidRDefault="007C4709" w:rsidP="005419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7C4709" w:rsidRPr="00D92B43" w:rsidRDefault="007C4709" w:rsidP="002D4C88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Модернизация предприятий, соз</w:t>
            </w:r>
            <w:r w:rsidR="002D4C88">
              <w:rPr>
                <w:rFonts w:ascii="Times New Roman" w:hAnsi="Times New Roman" w:cs="Times New Roman"/>
                <w:sz w:val="24"/>
                <w:szCs w:val="24"/>
              </w:rPr>
              <w:t>дание новых мощностей, создание 225</w:t>
            </w: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плановый объем финансирования реализации мероприятий программы за счет всех источников</w:t>
            </w:r>
            <w:r w:rsidR="002D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C88">
              <w:rPr>
                <w:rFonts w:ascii="Times New Roman" w:hAnsi="Times New Roman" w:cs="Times New Roman"/>
                <w:sz w:val="24"/>
                <w:szCs w:val="24"/>
              </w:rPr>
              <w:t xml:space="preserve"> 13342,4</w:t>
            </w: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2617" w:type="dxa"/>
          </w:tcPr>
          <w:p w:rsidR="007C4709" w:rsidRPr="00D92B43" w:rsidRDefault="00034CC3" w:rsidP="00034CC3">
            <w:pPr>
              <w:pStyle w:val="a5"/>
              <w:ind w:right="-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 главы Администрации, </w:t>
            </w:r>
            <w:r w:rsidR="007C4709"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Администрации, </w:t>
            </w:r>
            <w:bookmarkStart w:id="0" w:name="OLE_LINK1"/>
            <w:bookmarkStart w:id="1" w:name="OLE_LINK2"/>
            <w:r w:rsidR="007C4709"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</w:t>
            </w:r>
          </w:p>
          <w:p w:rsidR="007C4709" w:rsidRPr="00D92B43" w:rsidRDefault="007C4709" w:rsidP="00672E3E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bookmarkEnd w:id="0"/>
            <w:bookmarkEnd w:id="1"/>
          </w:p>
        </w:tc>
      </w:tr>
      <w:tr w:rsidR="0025733D" w:rsidRPr="00FE3A73" w:rsidTr="0025733D">
        <w:tc>
          <w:tcPr>
            <w:tcW w:w="673" w:type="dxa"/>
            <w:vMerge/>
          </w:tcPr>
          <w:p w:rsidR="007C4709" w:rsidRPr="00FE3A73" w:rsidRDefault="007C4709" w:rsidP="00D2573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7C4709" w:rsidRPr="00FE3A73" w:rsidRDefault="007C4709" w:rsidP="00CE3AD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7C4709" w:rsidRPr="007C4709" w:rsidRDefault="007C4709" w:rsidP="007C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09">
              <w:rPr>
                <w:rFonts w:ascii="Times New Roman" w:hAnsi="Times New Roman" w:cs="Times New Roman"/>
                <w:sz w:val="24"/>
                <w:szCs w:val="24"/>
              </w:rPr>
              <w:t>Реализация стандарта деятельности органов местного самоуправления  по обеспечению благоприятного инвестиционного климата в муниципальном образовании</w:t>
            </w:r>
          </w:p>
          <w:p w:rsidR="007C4709" w:rsidRPr="007C4709" w:rsidRDefault="007C4709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C4709" w:rsidRPr="007C4709" w:rsidRDefault="007C4709" w:rsidP="005419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7C4709" w:rsidRPr="007C4709" w:rsidRDefault="007C4709" w:rsidP="00541977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9">
              <w:rPr>
                <w:rFonts w:ascii="Times New Roman" w:hAnsi="Times New Roman" w:cs="Times New Roman"/>
                <w:sz w:val="24"/>
                <w:szCs w:val="24"/>
              </w:rPr>
              <w:t>Привлечение на территорию инвестиций, создание новых рабочих мест</w:t>
            </w:r>
          </w:p>
        </w:tc>
        <w:tc>
          <w:tcPr>
            <w:tcW w:w="2617" w:type="dxa"/>
          </w:tcPr>
          <w:p w:rsidR="007C4709" w:rsidRPr="007C4709" w:rsidRDefault="00034CC3" w:rsidP="002F6B09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4709" w:rsidRPr="007C4709">
              <w:rPr>
                <w:rFonts w:ascii="Times New Roman" w:hAnsi="Times New Roman" w:cs="Times New Roman"/>
                <w:sz w:val="24"/>
                <w:szCs w:val="24"/>
              </w:rPr>
              <w:t>аместитель  главы Администрации</w:t>
            </w:r>
            <w:r w:rsidR="00522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09" w:rsidRPr="007C470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предприятий </w:t>
            </w:r>
          </w:p>
          <w:p w:rsidR="007C4709" w:rsidRPr="007C4709" w:rsidRDefault="007C4709" w:rsidP="002F6B09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5733D" w:rsidRPr="00FE3A73" w:rsidTr="0025733D">
        <w:tc>
          <w:tcPr>
            <w:tcW w:w="673" w:type="dxa"/>
          </w:tcPr>
          <w:p w:rsidR="00672E3E" w:rsidRPr="00044D4D" w:rsidRDefault="000703A6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3E" w:rsidRPr="0004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672E3E" w:rsidRPr="00044D4D" w:rsidRDefault="00672E3E" w:rsidP="00F71BA3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3889" w:type="dxa"/>
          </w:tcPr>
          <w:p w:rsidR="00672E3E" w:rsidRPr="00044D4D" w:rsidRDefault="00BA62B4" w:rsidP="00F71BA3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социального жилья, жилья </w:t>
            </w:r>
            <w:proofErr w:type="spellStart"/>
            <w:proofErr w:type="gramStart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spellEnd"/>
            <w:proofErr w:type="gramEnd"/>
          </w:p>
        </w:tc>
        <w:tc>
          <w:tcPr>
            <w:tcW w:w="1931" w:type="dxa"/>
          </w:tcPr>
          <w:p w:rsidR="00672E3E" w:rsidRPr="00044D4D" w:rsidRDefault="00672E3E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72E3E" w:rsidRPr="00044D4D" w:rsidRDefault="00672E3E" w:rsidP="00BA62B4">
            <w:pPr>
              <w:pStyle w:val="ConsPlusNormal"/>
              <w:widowControl/>
              <w:ind w:right="111" w:firstLine="0"/>
              <w:jc w:val="both"/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Увеличение объем</w:t>
            </w:r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вводимого жилья на территории городского </w:t>
            </w:r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округа. Формирование рынка доступного жилья </w:t>
            </w:r>
            <w:proofErr w:type="spellStart"/>
            <w:proofErr w:type="gramStart"/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spellEnd"/>
            <w:proofErr w:type="gramEnd"/>
            <w:r w:rsidR="00F71BA3"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17" w:type="dxa"/>
          </w:tcPr>
          <w:p w:rsidR="00672E3E" w:rsidRPr="00D92B43" w:rsidRDefault="00672E3E" w:rsidP="00F71BA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 отдел строительства</w:t>
            </w:r>
            <w:r w:rsidR="00F71BA3"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BA3" w:rsidRPr="00D92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связи</w:t>
            </w:r>
          </w:p>
        </w:tc>
      </w:tr>
      <w:tr w:rsidR="00656E0F" w:rsidRPr="00FE3A73" w:rsidTr="0025733D">
        <w:tc>
          <w:tcPr>
            <w:tcW w:w="673" w:type="dxa"/>
            <w:vMerge w:val="restart"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6423B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участков под застройку коммунальной инфраструктурой.  </w:t>
            </w:r>
          </w:p>
          <w:p w:rsidR="00656E0F" w:rsidRPr="00044D4D" w:rsidRDefault="00656E0F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56E0F" w:rsidRPr="00044D4D" w:rsidRDefault="00656E0F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  <w:vMerge w:val="restart"/>
          </w:tcPr>
          <w:p w:rsidR="00656E0F" w:rsidRPr="00044D4D" w:rsidRDefault="00656E0F" w:rsidP="00B22C2C">
            <w:pPr>
              <w:pStyle w:val="ConsPlusNormal"/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Позволит определить средства и направления   территориального развития города, установить границы земель различного назначения и использования, границы функциональных зон с их планируемым развитием.</w:t>
            </w:r>
            <w:r w:rsidRPr="00044D4D">
              <w:t xml:space="preserve"> </w:t>
            </w: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E0F" w:rsidRPr="00044D4D" w:rsidRDefault="00656E0F" w:rsidP="00B22C2C">
            <w:pPr>
              <w:pStyle w:val="ConsPlusNormal"/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В части инженерной подготовки территории предусматриваются мероприятия по созданию </w:t>
            </w:r>
            <w:proofErr w:type="gramStart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возможности градостроительного освоения районов перспективного развития строительства</w:t>
            </w:r>
            <w:proofErr w:type="gramEnd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 с наименьшими затратами, минимальными разрушениями естественной среды городской территории</w:t>
            </w:r>
          </w:p>
        </w:tc>
        <w:tc>
          <w:tcPr>
            <w:tcW w:w="2617" w:type="dxa"/>
          </w:tcPr>
          <w:p w:rsidR="00656E0F" w:rsidRPr="00D92B43" w:rsidRDefault="00656E0F" w:rsidP="00B638B1">
            <w:pPr>
              <w:ind w:right="111"/>
              <w:rPr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строительства, транспорта и связи</w:t>
            </w:r>
          </w:p>
        </w:tc>
      </w:tr>
      <w:tr w:rsidR="00656E0F" w:rsidRPr="00FE3A73" w:rsidTr="0025733D">
        <w:tc>
          <w:tcPr>
            <w:tcW w:w="673" w:type="dxa"/>
            <w:vMerge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6423B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D92B43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</w:rPr>
              <w:t>Утверждение Генерального плана городского округа город Салават Республики Башкортостан</w:t>
            </w:r>
          </w:p>
        </w:tc>
        <w:tc>
          <w:tcPr>
            <w:tcW w:w="1931" w:type="dxa"/>
          </w:tcPr>
          <w:p w:rsidR="00656E0F" w:rsidRPr="00044D4D" w:rsidRDefault="00656E0F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  <w:vMerge/>
          </w:tcPr>
          <w:p w:rsidR="00656E0F" w:rsidRPr="00044D4D" w:rsidRDefault="00656E0F" w:rsidP="0048678F">
            <w:pPr>
              <w:pStyle w:val="ConsPlusNormal"/>
              <w:ind w:right="11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656E0F" w:rsidRDefault="00656E0F" w:rsidP="00F25586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56E0F" w:rsidRPr="00D92B43" w:rsidRDefault="00656E0F" w:rsidP="00F25586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 xml:space="preserve"> отдел строительства, транспорта и связи</w:t>
            </w:r>
          </w:p>
          <w:p w:rsidR="00656E0F" w:rsidRPr="00D92B43" w:rsidRDefault="00656E0F" w:rsidP="00F25586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656E0F" w:rsidRPr="00FE3A73" w:rsidTr="0025733D">
        <w:tc>
          <w:tcPr>
            <w:tcW w:w="673" w:type="dxa"/>
            <w:vMerge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6423B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проекта планировки и межевания микрорайона № 6 Восточного жилого района путем организации и проведения публичных слушаний; </w:t>
            </w:r>
          </w:p>
          <w:p w:rsidR="00656E0F" w:rsidRPr="00044D4D" w:rsidRDefault="00656E0F" w:rsidP="00D92B43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на право заключения муниципального контракта на выполнение работ по разработке проектов планировок и проектов межевания микрорайона № 5 жилого района «</w:t>
            </w:r>
            <w:proofErr w:type="spellStart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Юлдашево</w:t>
            </w:r>
            <w:proofErr w:type="spellEnd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» и микрорайона № 8 Восточного жилого района</w:t>
            </w:r>
            <w:r w:rsidRPr="00044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1" w:type="dxa"/>
          </w:tcPr>
          <w:p w:rsidR="00656E0F" w:rsidRPr="00044D4D" w:rsidRDefault="00656E0F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  <w:vMerge/>
          </w:tcPr>
          <w:p w:rsidR="00656E0F" w:rsidRPr="00044D4D" w:rsidRDefault="00656E0F" w:rsidP="0048678F">
            <w:pPr>
              <w:pStyle w:val="ConsPlusNormal"/>
              <w:ind w:right="11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656E0F" w:rsidRPr="00D92B43" w:rsidRDefault="00656E0F" w:rsidP="00F25586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отдел строительства, транспорта и связи</w:t>
            </w:r>
          </w:p>
          <w:p w:rsidR="00656E0F" w:rsidRPr="00D92B43" w:rsidRDefault="00656E0F" w:rsidP="00F25586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25733D" w:rsidRPr="00FE3A73" w:rsidTr="0025733D">
        <w:tc>
          <w:tcPr>
            <w:tcW w:w="673" w:type="dxa"/>
          </w:tcPr>
          <w:p w:rsidR="00B638B1" w:rsidRPr="00044D4D" w:rsidRDefault="00B638B1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B638B1" w:rsidRPr="00044D4D" w:rsidRDefault="00C560B8" w:rsidP="006423B6">
            <w:pPr>
              <w:ind w:left="35"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городского округа</w:t>
            </w:r>
          </w:p>
        </w:tc>
        <w:tc>
          <w:tcPr>
            <w:tcW w:w="3889" w:type="dxa"/>
          </w:tcPr>
          <w:p w:rsidR="00B638B1" w:rsidRPr="00044D4D" w:rsidRDefault="00B638B1" w:rsidP="006423B6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Улучшение структуры улично-дорожной сети</w:t>
            </w:r>
          </w:p>
        </w:tc>
        <w:tc>
          <w:tcPr>
            <w:tcW w:w="1931" w:type="dxa"/>
          </w:tcPr>
          <w:p w:rsidR="00B638B1" w:rsidRPr="00044D4D" w:rsidRDefault="00B638B1" w:rsidP="006423B6">
            <w:pPr>
              <w:ind w:left="-108"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9" w:type="dxa"/>
          </w:tcPr>
          <w:p w:rsidR="004F4972" w:rsidRPr="00044D4D" w:rsidRDefault="004F4972" w:rsidP="004F4972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улично-дорожной сети на площади 5 тыс.кв. метров, сумма затрат 6 млн. рублей. </w:t>
            </w:r>
          </w:p>
          <w:p w:rsidR="004F4972" w:rsidRPr="00044D4D" w:rsidRDefault="004F4972" w:rsidP="004F4972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внутриквартальных </w:t>
            </w: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на площади 2 тыс.кв. метров, сумма затрат 2 млн. рублей.</w:t>
            </w:r>
          </w:p>
          <w:p w:rsidR="00B638B1" w:rsidRPr="00044D4D" w:rsidRDefault="004F4972" w:rsidP="004F4972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дорог на площади 13 тыс.кв. метров, сумма затрат 11,2 млн. рублей</w:t>
            </w:r>
          </w:p>
        </w:tc>
        <w:tc>
          <w:tcPr>
            <w:tcW w:w="2617" w:type="dxa"/>
          </w:tcPr>
          <w:p w:rsidR="00EC5747" w:rsidRDefault="00B638B1" w:rsidP="00C5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</w:p>
          <w:p w:rsidR="00B638B1" w:rsidRPr="004F4972" w:rsidRDefault="00B638B1" w:rsidP="00C560B8">
            <w:r w:rsidRPr="004F4972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</w:p>
        </w:tc>
      </w:tr>
      <w:tr w:rsidR="00656E0F" w:rsidRPr="00FE3A73" w:rsidTr="0025733D">
        <w:tc>
          <w:tcPr>
            <w:tcW w:w="673" w:type="dxa"/>
            <w:vMerge w:val="restart"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6423B6">
            <w:pPr>
              <w:ind w:left="35"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6423B6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многоквартирных домов</w:t>
            </w:r>
          </w:p>
        </w:tc>
        <w:tc>
          <w:tcPr>
            <w:tcW w:w="1931" w:type="dxa"/>
          </w:tcPr>
          <w:p w:rsidR="00656E0F" w:rsidRPr="00044D4D" w:rsidRDefault="00656E0F" w:rsidP="006423B6">
            <w:pPr>
              <w:ind w:left="-108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9" w:type="dxa"/>
          </w:tcPr>
          <w:p w:rsidR="00656E0F" w:rsidRPr="00044D4D" w:rsidRDefault="00656E0F" w:rsidP="001A70B7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Улучшение комфортного проживания населения</w:t>
            </w:r>
          </w:p>
        </w:tc>
        <w:tc>
          <w:tcPr>
            <w:tcW w:w="2617" w:type="dxa"/>
          </w:tcPr>
          <w:p w:rsidR="00656E0F" w:rsidRPr="00EC5747" w:rsidRDefault="0065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656E0F" w:rsidRPr="00FE3A73" w:rsidRDefault="00656E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</w:tr>
      <w:tr w:rsidR="00656E0F" w:rsidRPr="00FE3A73" w:rsidTr="0025733D">
        <w:tc>
          <w:tcPr>
            <w:tcW w:w="673" w:type="dxa"/>
            <w:vMerge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6423B6">
            <w:pPr>
              <w:ind w:left="35"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6423B6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дополнительных мероприятий по внешнему благоустройству, озеленению городского округа в связи с празднованием 65-летия города</w:t>
            </w:r>
          </w:p>
        </w:tc>
        <w:tc>
          <w:tcPr>
            <w:tcW w:w="1931" w:type="dxa"/>
          </w:tcPr>
          <w:p w:rsidR="00656E0F" w:rsidRPr="00044D4D" w:rsidRDefault="00656E0F" w:rsidP="006423B6">
            <w:pPr>
              <w:ind w:left="-108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9" w:type="dxa"/>
          </w:tcPr>
          <w:p w:rsidR="00656E0F" w:rsidRPr="00044D4D" w:rsidRDefault="00656E0F" w:rsidP="001A70B7">
            <w:pPr>
              <w:ind w:left="3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внешнего облика города</w:t>
            </w:r>
          </w:p>
        </w:tc>
        <w:tc>
          <w:tcPr>
            <w:tcW w:w="2617" w:type="dxa"/>
          </w:tcPr>
          <w:p w:rsidR="00656E0F" w:rsidRPr="00EC5747" w:rsidRDefault="00656E0F" w:rsidP="000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656E0F" w:rsidRPr="00EC5747" w:rsidRDefault="00656E0F" w:rsidP="000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</w:tr>
      <w:tr w:rsidR="00656E0F" w:rsidRPr="00FE3A73" w:rsidTr="0025733D">
        <w:tc>
          <w:tcPr>
            <w:tcW w:w="673" w:type="dxa"/>
            <w:vMerge w:val="restart"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656E0F" w:rsidRPr="00044D4D" w:rsidRDefault="00656E0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на территории городского округа</w:t>
            </w:r>
          </w:p>
        </w:tc>
        <w:tc>
          <w:tcPr>
            <w:tcW w:w="3889" w:type="dxa"/>
          </w:tcPr>
          <w:p w:rsidR="00656E0F" w:rsidRPr="00044D4D" w:rsidRDefault="00656E0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Доступность  кредитов для субъектов малого и среднего бизнеса через офис «Центра </w:t>
            </w:r>
            <w:proofErr w:type="spellStart"/>
            <w:r w:rsidRPr="00044D4D">
              <w:rPr>
                <w:sz w:val="24"/>
                <w:szCs w:val="24"/>
              </w:rPr>
              <w:t>микрофинансирования</w:t>
            </w:r>
            <w:proofErr w:type="spellEnd"/>
            <w:r w:rsidRPr="00044D4D">
              <w:rPr>
                <w:sz w:val="24"/>
                <w:szCs w:val="24"/>
              </w:rPr>
              <w:t>», бесплатная консультативная помощь бизнесменам</w:t>
            </w:r>
          </w:p>
        </w:tc>
        <w:tc>
          <w:tcPr>
            <w:tcW w:w="1931" w:type="dxa"/>
          </w:tcPr>
          <w:p w:rsidR="00656E0F" w:rsidRPr="00044D4D" w:rsidRDefault="00656E0F" w:rsidP="00A6406E">
            <w:pPr>
              <w:pStyle w:val="a6"/>
              <w:tabs>
                <w:tab w:val="num" w:pos="1245"/>
              </w:tabs>
              <w:ind w:right="111"/>
              <w:jc w:val="center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56E0F" w:rsidRPr="00044D4D" w:rsidRDefault="00656E0F" w:rsidP="00A6406E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Развитие экономики  за счет расширения сфер деятельности субъектов малого и среднего бизнеса, создание новых рабочих мест.</w:t>
            </w:r>
          </w:p>
        </w:tc>
        <w:tc>
          <w:tcPr>
            <w:tcW w:w="2617" w:type="dxa"/>
          </w:tcPr>
          <w:p w:rsidR="00656E0F" w:rsidRPr="00EC5747" w:rsidRDefault="00656E0F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/>
                <w:sz w:val="24"/>
                <w:szCs w:val="24"/>
              </w:rPr>
              <w:t xml:space="preserve">АНО «Бизнес-центр «Юг Башкортостана», «Центр </w:t>
            </w:r>
            <w:proofErr w:type="spellStart"/>
            <w:r w:rsidRPr="00EC5747">
              <w:rPr>
                <w:rFonts w:ascii="Times New Roman" w:hAnsi="Times New Roman"/>
                <w:sz w:val="24"/>
                <w:szCs w:val="24"/>
              </w:rPr>
              <w:t>микрофинансиро</w:t>
            </w:r>
            <w:proofErr w:type="spellEnd"/>
            <w:r w:rsidRPr="00EC5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74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EC5747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</w:tc>
      </w:tr>
      <w:tr w:rsidR="00656E0F" w:rsidRPr="00FE3A73" w:rsidTr="0025733D">
        <w:tc>
          <w:tcPr>
            <w:tcW w:w="673" w:type="dxa"/>
            <w:vMerge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Привлечение субъектов малого и среднего предпринимательства  к поставкам товаров, выполнению работ и оказанию услуг для муниципальных нужд</w:t>
            </w:r>
          </w:p>
        </w:tc>
        <w:tc>
          <w:tcPr>
            <w:tcW w:w="1931" w:type="dxa"/>
          </w:tcPr>
          <w:p w:rsidR="00656E0F" w:rsidRPr="00044D4D" w:rsidRDefault="00656E0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56E0F" w:rsidRPr="00044D4D" w:rsidRDefault="00656E0F" w:rsidP="00A73D28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Поддержка местных товаропроизводителей</w:t>
            </w:r>
          </w:p>
        </w:tc>
        <w:tc>
          <w:tcPr>
            <w:tcW w:w="2617" w:type="dxa"/>
          </w:tcPr>
          <w:p w:rsidR="00656E0F" w:rsidRPr="00EC5747" w:rsidRDefault="00656E0F" w:rsidP="00A6406E">
            <w:pPr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747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Администрации, отдел по предпринимательству и торговле</w:t>
            </w:r>
            <w:r>
              <w:rPr>
                <w:rFonts w:ascii="Times New Roman" w:hAnsi="Times New Roman"/>
                <w:sz w:val="24"/>
                <w:szCs w:val="24"/>
              </w:rPr>
              <w:t>, отдел муниципального заказа</w:t>
            </w:r>
          </w:p>
        </w:tc>
      </w:tr>
      <w:tr w:rsidR="0025733D" w:rsidRPr="00FE3A73" w:rsidTr="0025733D">
        <w:tc>
          <w:tcPr>
            <w:tcW w:w="673" w:type="dxa"/>
          </w:tcPr>
          <w:p w:rsidR="0048678F" w:rsidRPr="00044D4D" w:rsidRDefault="0048678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48678F" w:rsidRPr="00044D4D" w:rsidRDefault="00401598" w:rsidP="00401598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A70B7"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25733D"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предприятий и организаций  </w:t>
            </w:r>
          </w:p>
        </w:tc>
        <w:tc>
          <w:tcPr>
            <w:tcW w:w="3889" w:type="dxa"/>
          </w:tcPr>
          <w:p w:rsidR="00401598" w:rsidRPr="00044D4D" w:rsidRDefault="00401598" w:rsidP="004015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включения в коллективные договоры предприятий </w:t>
            </w:r>
            <w:r w:rsidRPr="00044D4D">
              <w:rPr>
                <w:rFonts w:ascii="Times New Roman" w:eastAsia="Calibri" w:hAnsi="Times New Roman" w:cs="Times New Roman"/>
              </w:rPr>
              <w:t xml:space="preserve">положений п.п.6.5 и 6.15. </w:t>
            </w:r>
            <w:r w:rsidRPr="00044D4D">
              <w:rPr>
                <w:rFonts w:ascii="Times New Roman" w:eastAsia="Calibri" w:hAnsi="Times New Roman" w:cs="Times New Roman"/>
                <w:bCs/>
              </w:rPr>
              <w:t xml:space="preserve">Республиканского соглашения на </w:t>
            </w:r>
            <w:r w:rsidRPr="00044D4D">
              <w:rPr>
                <w:rFonts w:ascii="Times New Roman" w:eastAsia="Calibri" w:hAnsi="Times New Roman" w:cs="Times New Roman"/>
                <w:bCs/>
              </w:rPr>
              <w:lastRenderedPageBreak/>
              <w:t xml:space="preserve">2011-2013гг.: </w:t>
            </w:r>
            <w:proofErr w:type="gramStart"/>
            <w:r w:rsidRPr="00044D4D">
              <w:rPr>
                <w:rFonts w:ascii="Times New Roman" w:eastAsia="Calibri" w:hAnsi="Times New Roman" w:cs="Times New Roman"/>
                <w:bCs/>
              </w:rPr>
              <w:t>-р</w:t>
            </w:r>
            <w:proofErr w:type="gramEnd"/>
            <w:r w:rsidRPr="00044D4D">
              <w:rPr>
                <w:rFonts w:ascii="Times New Roman" w:eastAsia="Calibri" w:hAnsi="Times New Roman" w:cs="Times New Roman"/>
                <w:bCs/>
              </w:rPr>
              <w:t xml:space="preserve">аботодатели </w:t>
            </w:r>
            <w:r w:rsidRPr="00044D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044D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населения»;</w:t>
            </w:r>
          </w:p>
          <w:p w:rsidR="0048678F" w:rsidRPr="00044D4D" w:rsidRDefault="00401598" w:rsidP="0040159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«Обеспечивают установление в коллективном договоре соотношения не более чем 1:6. в уровнях оплаты труда 10 процентов работников с наиболее низкой заработной платой и 10 процентов - с самой высокой».</w:t>
            </w:r>
          </w:p>
        </w:tc>
        <w:tc>
          <w:tcPr>
            <w:tcW w:w="1931" w:type="dxa"/>
          </w:tcPr>
          <w:p w:rsidR="0048678F" w:rsidRPr="00044D4D" w:rsidRDefault="0048678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89" w:type="dxa"/>
          </w:tcPr>
          <w:p w:rsidR="0048678F" w:rsidRPr="00044D4D" w:rsidRDefault="0048678F" w:rsidP="00A6406E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Уменьшение разрыва между богатыми и малообеспеченными гражданами, повышение </w:t>
            </w:r>
            <w:r w:rsidRPr="00044D4D">
              <w:rPr>
                <w:sz w:val="24"/>
                <w:szCs w:val="24"/>
              </w:rPr>
              <w:lastRenderedPageBreak/>
              <w:t>доходов работников и служащих всех уровней.</w:t>
            </w:r>
          </w:p>
        </w:tc>
        <w:tc>
          <w:tcPr>
            <w:tcW w:w="2617" w:type="dxa"/>
          </w:tcPr>
          <w:p w:rsidR="0048678F" w:rsidRPr="00401598" w:rsidRDefault="00401598" w:rsidP="00A6406E">
            <w:pPr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598">
              <w:rPr>
                <w:rFonts w:ascii="Times New Roman" w:eastAsia="Calibri" w:hAnsi="Times New Roman" w:cs="Times New Roman"/>
              </w:rPr>
              <w:lastRenderedPageBreak/>
              <w:t xml:space="preserve">Управление труда и социальной защиты населения </w:t>
            </w:r>
            <w:proofErr w:type="spellStart"/>
            <w:r w:rsidRPr="00401598">
              <w:rPr>
                <w:rFonts w:ascii="Times New Roman" w:eastAsia="Calibri" w:hAnsi="Times New Roman" w:cs="Times New Roman"/>
              </w:rPr>
              <w:t>МТиСЗН</w:t>
            </w:r>
            <w:proofErr w:type="spellEnd"/>
            <w:r w:rsidRPr="00401598">
              <w:rPr>
                <w:rFonts w:ascii="Times New Roman" w:eastAsia="Calibri" w:hAnsi="Times New Roman" w:cs="Times New Roman"/>
              </w:rPr>
              <w:t xml:space="preserve"> РБ по г. Салават (служба </w:t>
            </w:r>
            <w:r w:rsidRPr="00401598">
              <w:rPr>
                <w:rFonts w:ascii="Times New Roman" w:eastAsia="Calibri" w:hAnsi="Times New Roman" w:cs="Times New Roman"/>
              </w:rPr>
              <w:lastRenderedPageBreak/>
              <w:t>труда)</w:t>
            </w:r>
          </w:p>
        </w:tc>
      </w:tr>
      <w:tr w:rsidR="00656E0F" w:rsidRPr="00FE3A73" w:rsidTr="0025733D">
        <w:tc>
          <w:tcPr>
            <w:tcW w:w="673" w:type="dxa"/>
            <w:vMerge w:val="restart"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7" w:type="dxa"/>
          </w:tcPr>
          <w:p w:rsidR="00656E0F" w:rsidRPr="00044D4D" w:rsidRDefault="00656E0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малоимущих, пожилых людей, инвалидов</w:t>
            </w:r>
          </w:p>
        </w:tc>
        <w:tc>
          <w:tcPr>
            <w:tcW w:w="3889" w:type="dxa"/>
          </w:tcPr>
          <w:p w:rsidR="00656E0F" w:rsidRPr="00044D4D" w:rsidRDefault="00656E0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Реализация городской целевой программы «Народный университет третьего возраста»</w:t>
            </w:r>
          </w:p>
        </w:tc>
        <w:tc>
          <w:tcPr>
            <w:tcW w:w="1931" w:type="dxa"/>
          </w:tcPr>
          <w:p w:rsidR="00656E0F" w:rsidRPr="00044D4D" w:rsidRDefault="00656E0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bookmarkStart w:id="3" w:name="OLE_LINK4"/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2"/>
            <w:bookmarkEnd w:id="3"/>
          </w:p>
        </w:tc>
        <w:tc>
          <w:tcPr>
            <w:tcW w:w="2989" w:type="dxa"/>
          </w:tcPr>
          <w:p w:rsidR="00656E0F" w:rsidRPr="00044D4D" w:rsidRDefault="00656E0F" w:rsidP="00B529D4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Освоение гражданами по</w:t>
            </w:r>
            <w:r w:rsidRPr="00044D4D">
              <w:rPr>
                <w:sz w:val="24"/>
                <w:szCs w:val="24"/>
              </w:rPr>
              <w:softHyphen/>
              <w:t>жилого возраста новых знаний и приобретение ими новых навыков, раз</w:t>
            </w:r>
            <w:r w:rsidRPr="00044D4D">
              <w:rPr>
                <w:sz w:val="24"/>
                <w:szCs w:val="24"/>
              </w:rPr>
              <w:softHyphen/>
              <w:t>витие чувства уверенности у людей пожилого воз</w:t>
            </w:r>
            <w:r w:rsidRPr="00044D4D">
              <w:rPr>
                <w:sz w:val="24"/>
                <w:szCs w:val="24"/>
              </w:rPr>
              <w:softHyphen/>
              <w:t xml:space="preserve">раста. </w:t>
            </w:r>
          </w:p>
        </w:tc>
        <w:tc>
          <w:tcPr>
            <w:tcW w:w="2617" w:type="dxa"/>
          </w:tcPr>
          <w:p w:rsidR="00656E0F" w:rsidRDefault="00656E0F" w:rsidP="00D63AC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2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РБ,</w:t>
            </w:r>
          </w:p>
          <w:p w:rsidR="00656E0F" w:rsidRPr="00BA62B4" w:rsidRDefault="00656E0F" w:rsidP="00D63AC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598">
              <w:rPr>
                <w:rFonts w:ascii="Times New Roman" w:eastAsia="Calibri" w:hAnsi="Times New Roman" w:cs="Times New Roman"/>
              </w:rPr>
              <w:t xml:space="preserve">Управление труда и социальной защиты населения </w:t>
            </w:r>
            <w:proofErr w:type="spellStart"/>
            <w:r w:rsidRPr="00401598">
              <w:rPr>
                <w:rFonts w:ascii="Times New Roman" w:eastAsia="Calibri" w:hAnsi="Times New Roman" w:cs="Times New Roman"/>
              </w:rPr>
              <w:t>МТиСЗН</w:t>
            </w:r>
            <w:proofErr w:type="spellEnd"/>
            <w:r w:rsidRPr="00401598">
              <w:rPr>
                <w:rFonts w:ascii="Times New Roman" w:eastAsia="Calibri" w:hAnsi="Times New Roman" w:cs="Times New Roman"/>
              </w:rPr>
              <w:t xml:space="preserve"> РБ по г. Салават</w:t>
            </w:r>
          </w:p>
        </w:tc>
      </w:tr>
      <w:tr w:rsidR="00656E0F" w:rsidRPr="00FE3A73" w:rsidTr="0025733D">
        <w:tc>
          <w:tcPr>
            <w:tcW w:w="673" w:type="dxa"/>
            <w:vMerge/>
          </w:tcPr>
          <w:p w:rsidR="00656E0F" w:rsidRPr="00044D4D" w:rsidRDefault="00656E0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6E0F" w:rsidRPr="00044D4D" w:rsidRDefault="00656E0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56E0F" w:rsidRPr="00044D4D" w:rsidRDefault="00656E0F" w:rsidP="0047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республиканской и городской целевой программы «Доступная среда» на 2011-2015 годы. </w:t>
            </w:r>
          </w:p>
          <w:p w:rsidR="00656E0F" w:rsidRPr="00044D4D" w:rsidRDefault="00656E0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656E0F" w:rsidRPr="00044D4D" w:rsidRDefault="00656E0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56E0F" w:rsidRPr="00044D4D" w:rsidRDefault="00656E0F" w:rsidP="00B529D4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Создание координационного совета по делам инвалидов.</w:t>
            </w:r>
          </w:p>
          <w:p w:rsidR="00656E0F" w:rsidRDefault="00656E0F" w:rsidP="00B529D4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Создание общественной инспекции по формирова</w:t>
            </w:r>
            <w:r w:rsidRPr="00044D4D">
              <w:rPr>
                <w:sz w:val="24"/>
                <w:szCs w:val="24"/>
              </w:rPr>
              <w:softHyphen/>
              <w:t>нию доступной для инва</w:t>
            </w:r>
            <w:r w:rsidRPr="00044D4D">
              <w:rPr>
                <w:sz w:val="24"/>
                <w:szCs w:val="24"/>
              </w:rPr>
              <w:softHyphen/>
              <w:t>лидов среды жизнедея</w:t>
            </w:r>
            <w:r w:rsidRPr="00044D4D">
              <w:rPr>
                <w:sz w:val="24"/>
                <w:szCs w:val="24"/>
              </w:rPr>
              <w:softHyphen/>
              <w:t>тельности</w:t>
            </w:r>
          </w:p>
          <w:p w:rsidR="00656E0F" w:rsidRPr="00044D4D" w:rsidRDefault="00656E0F" w:rsidP="00B529D4">
            <w:pPr>
              <w:pStyle w:val="a6"/>
              <w:ind w:right="111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656E0F" w:rsidRPr="00BA62B4" w:rsidRDefault="00656E0F" w:rsidP="00E240E1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2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Салават Республики Башкортостан</w:t>
            </w:r>
            <w:r w:rsidRPr="00401598">
              <w:rPr>
                <w:rFonts w:ascii="Times New Roman" w:hAnsi="Times New Roman" w:cs="Times New Roman"/>
              </w:rPr>
              <w:t xml:space="preserve"> </w:t>
            </w:r>
            <w:r w:rsidRPr="00401598">
              <w:rPr>
                <w:rFonts w:ascii="Times New Roman" w:eastAsia="Calibri" w:hAnsi="Times New Roman" w:cs="Times New Roman"/>
              </w:rPr>
              <w:t xml:space="preserve">Управление труда и социальной защиты населения </w:t>
            </w:r>
            <w:proofErr w:type="spellStart"/>
            <w:r w:rsidRPr="00401598">
              <w:rPr>
                <w:rFonts w:ascii="Times New Roman" w:eastAsia="Calibri" w:hAnsi="Times New Roman" w:cs="Times New Roman"/>
              </w:rPr>
              <w:t>МТиСЗН</w:t>
            </w:r>
            <w:proofErr w:type="spellEnd"/>
            <w:r w:rsidRPr="00401598">
              <w:rPr>
                <w:rFonts w:ascii="Times New Roman" w:eastAsia="Calibri" w:hAnsi="Times New Roman" w:cs="Times New Roman"/>
              </w:rPr>
              <w:t xml:space="preserve"> РБ по г. Салават</w:t>
            </w:r>
          </w:p>
        </w:tc>
      </w:tr>
      <w:tr w:rsidR="0025733D" w:rsidRPr="00790310" w:rsidTr="0025733D">
        <w:tc>
          <w:tcPr>
            <w:tcW w:w="673" w:type="dxa"/>
          </w:tcPr>
          <w:p w:rsidR="005D5F64" w:rsidRPr="00044D4D" w:rsidRDefault="00044D4D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D5F64" w:rsidRPr="0004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5D5F64" w:rsidRPr="00044D4D" w:rsidRDefault="005D5F64" w:rsidP="00A6406E">
            <w:pPr>
              <w:spacing w:line="274" w:lineRule="exact"/>
              <w:ind w:left="35" w:right="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D4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Улучшение и устойчивость финансового положения и платежеспособности муниципального образования</w:t>
            </w:r>
          </w:p>
        </w:tc>
        <w:tc>
          <w:tcPr>
            <w:tcW w:w="3889" w:type="dxa"/>
          </w:tcPr>
          <w:p w:rsidR="005D5F64" w:rsidRPr="00044D4D" w:rsidRDefault="005D5F64" w:rsidP="00A6406E">
            <w:pPr>
              <w:spacing w:line="274" w:lineRule="exact"/>
              <w:ind w:left="39" w:right="111" w:hanging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D4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Реализация Программы повышения доходного потенциала городского округа город Салават Республики Башкортостан на 2011-2013 годы, утвержденной Постановлением главы Администрации от 01.12.2010г. № 2678-п</w:t>
            </w:r>
          </w:p>
        </w:tc>
        <w:tc>
          <w:tcPr>
            <w:tcW w:w="1931" w:type="dxa"/>
          </w:tcPr>
          <w:p w:rsidR="005D5F64" w:rsidRPr="00044D4D" w:rsidRDefault="005D5F64" w:rsidP="00A6406E">
            <w:pPr>
              <w:ind w:right="111"/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5D5F64" w:rsidRPr="00044D4D" w:rsidRDefault="005D5F64" w:rsidP="00A6406E">
            <w:pPr>
              <w:spacing w:line="274" w:lineRule="exact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D4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Повышение доходного потенциала городского округа город Салават Республики Башкортостан</w:t>
            </w:r>
          </w:p>
        </w:tc>
        <w:tc>
          <w:tcPr>
            <w:tcW w:w="2617" w:type="dxa"/>
          </w:tcPr>
          <w:p w:rsidR="005D5F64" w:rsidRPr="00790310" w:rsidRDefault="005D5F64" w:rsidP="005D5F64">
            <w:pPr>
              <w:spacing w:line="278" w:lineRule="exact"/>
              <w:ind w:right="111" w:hanging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31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Финансовое управление Администрации ГО г. Салават РБ</w:t>
            </w:r>
          </w:p>
        </w:tc>
      </w:tr>
      <w:tr w:rsidR="00672906" w:rsidRPr="00FE3A73" w:rsidTr="0025733D">
        <w:tc>
          <w:tcPr>
            <w:tcW w:w="673" w:type="dxa"/>
            <w:vMerge w:val="restart"/>
          </w:tcPr>
          <w:p w:rsidR="00672906" w:rsidRPr="00044D4D" w:rsidRDefault="00044D4D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2906" w:rsidRPr="0004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vMerge w:val="restart"/>
          </w:tcPr>
          <w:p w:rsidR="00672906" w:rsidRPr="00044D4D" w:rsidRDefault="00672906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Обеспеченность местами в дошкольных образовательных учреждениях</w:t>
            </w:r>
          </w:p>
        </w:tc>
        <w:tc>
          <w:tcPr>
            <w:tcW w:w="3889" w:type="dxa"/>
          </w:tcPr>
          <w:p w:rsidR="00672906" w:rsidRPr="00044D4D" w:rsidRDefault="00672906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Строительство детских дошкольных учреждений на 220 мест в МР – 2, 3</w:t>
            </w:r>
          </w:p>
        </w:tc>
        <w:tc>
          <w:tcPr>
            <w:tcW w:w="1931" w:type="dxa"/>
          </w:tcPr>
          <w:p w:rsidR="00672906" w:rsidRPr="00044D4D" w:rsidRDefault="00672906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72906" w:rsidRPr="00044D4D" w:rsidRDefault="00672906" w:rsidP="00A6406E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Увеличение количества детей, охваченных дошкольным образованием. Сокращение очередности в ДОУ.</w:t>
            </w:r>
          </w:p>
        </w:tc>
        <w:tc>
          <w:tcPr>
            <w:tcW w:w="2617" w:type="dxa"/>
          </w:tcPr>
          <w:p w:rsidR="00672906" w:rsidRPr="00044D4D" w:rsidRDefault="00672906" w:rsidP="001F7228">
            <w:pPr>
              <w:rPr>
                <w:rFonts w:ascii="Times New Roman" w:hAnsi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 xml:space="preserve">Администрация ГО г. Салават, </w:t>
            </w:r>
          </w:p>
          <w:p w:rsidR="00672906" w:rsidRPr="00044D4D" w:rsidRDefault="00672906" w:rsidP="001F7228">
            <w:pPr>
              <w:rPr>
                <w:rFonts w:ascii="Times New Roman" w:hAnsi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672906" w:rsidRPr="00044D4D" w:rsidRDefault="00672906" w:rsidP="001F7228">
            <w:pPr>
              <w:rPr>
                <w:rFonts w:ascii="Times New Roman" w:hAnsi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672906" w:rsidRPr="00044D4D" w:rsidRDefault="00672906" w:rsidP="001F7228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ГО г. Салават</w:t>
            </w:r>
          </w:p>
        </w:tc>
      </w:tr>
      <w:tr w:rsidR="00672906" w:rsidRPr="00FE3A73" w:rsidTr="0025733D">
        <w:tc>
          <w:tcPr>
            <w:tcW w:w="673" w:type="dxa"/>
            <w:vMerge/>
          </w:tcPr>
          <w:p w:rsidR="00672906" w:rsidRPr="00044D4D" w:rsidRDefault="00672906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672906" w:rsidRPr="00044D4D" w:rsidRDefault="00672906" w:rsidP="00A6406E">
            <w:pPr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672906" w:rsidRPr="00044D4D" w:rsidRDefault="00672906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Создание групп кратковременного пребывания на базе </w:t>
            </w:r>
            <w:proofErr w:type="spellStart"/>
            <w:r w:rsidRPr="00044D4D">
              <w:rPr>
                <w:sz w:val="24"/>
                <w:szCs w:val="24"/>
              </w:rPr>
              <w:t>Салаватского</w:t>
            </w:r>
            <w:proofErr w:type="spellEnd"/>
            <w:r w:rsidRPr="00044D4D">
              <w:rPr>
                <w:sz w:val="24"/>
                <w:szCs w:val="24"/>
              </w:rPr>
              <w:t xml:space="preserve"> колледжа образования и профессиональных технологий</w:t>
            </w:r>
          </w:p>
        </w:tc>
        <w:tc>
          <w:tcPr>
            <w:tcW w:w="1931" w:type="dxa"/>
          </w:tcPr>
          <w:p w:rsidR="00672906" w:rsidRPr="00044D4D" w:rsidRDefault="00672906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672906" w:rsidRPr="00044D4D" w:rsidRDefault="00672906" w:rsidP="00A6406E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Соблюдение вариативности и общедоступности дошкольного образования</w:t>
            </w:r>
          </w:p>
        </w:tc>
        <w:tc>
          <w:tcPr>
            <w:tcW w:w="2617" w:type="dxa"/>
          </w:tcPr>
          <w:p w:rsidR="00672906" w:rsidRPr="00672906" w:rsidRDefault="00672906" w:rsidP="00672906">
            <w:pPr>
              <w:rPr>
                <w:rFonts w:ascii="Times New Roman" w:hAnsi="Times New Roman"/>
                <w:sz w:val="24"/>
                <w:szCs w:val="24"/>
              </w:rPr>
            </w:pPr>
            <w:r w:rsidRPr="00672906">
              <w:rPr>
                <w:rFonts w:ascii="Times New Roman" w:hAnsi="Times New Roman"/>
                <w:sz w:val="24"/>
                <w:szCs w:val="24"/>
              </w:rPr>
              <w:t xml:space="preserve">Администрация ГО г. Салават, </w:t>
            </w:r>
          </w:p>
          <w:p w:rsidR="00672906" w:rsidRPr="00672906" w:rsidRDefault="00672906" w:rsidP="00672906">
            <w:pPr>
              <w:rPr>
                <w:rFonts w:ascii="Times New Roman" w:hAnsi="Times New Roman"/>
                <w:sz w:val="24"/>
                <w:szCs w:val="24"/>
              </w:rPr>
            </w:pPr>
            <w:r w:rsidRPr="0067290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672906" w:rsidRPr="00672906" w:rsidRDefault="00672906" w:rsidP="00672906">
            <w:pPr>
              <w:rPr>
                <w:rFonts w:ascii="Times New Roman" w:hAnsi="Times New Roman"/>
                <w:sz w:val="24"/>
                <w:szCs w:val="24"/>
              </w:rPr>
            </w:pPr>
            <w:r w:rsidRPr="006729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672906" w:rsidRPr="00FE3A73" w:rsidRDefault="00672906" w:rsidP="006729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906">
              <w:rPr>
                <w:rFonts w:ascii="Times New Roman" w:hAnsi="Times New Roman"/>
                <w:sz w:val="24"/>
                <w:szCs w:val="24"/>
              </w:rPr>
              <w:t>ГО г. Салават</w:t>
            </w:r>
          </w:p>
        </w:tc>
      </w:tr>
      <w:tr w:rsidR="0025733D" w:rsidRPr="00FE3A73" w:rsidTr="0025733D">
        <w:tc>
          <w:tcPr>
            <w:tcW w:w="673" w:type="dxa"/>
            <w:vMerge w:val="restart"/>
          </w:tcPr>
          <w:p w:rsidR="00964EEC" w:rsidRPr="00044D4D" w:rsidRDefault="00044D4D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vMerge w:val="restart"/>
          </w:tcPr>
          <w:p w:rsidR="00964EEC" w:rsidRPr="00044D4D" w:rsidRDefault="00964EEC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управленческой среды</w:t>
            </w:r>
          </w:p>
        </w:tc>
        <w:tc>
          <w:tcPr>
            <w:tcW w:w="3889" w:type="dxa"/>
          </w:tcPr>
          <w:p w:rsidR="00964EEC" w:rsidRPr="00044D4D" w:rsidRDefault="00964EEC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Оптимизация численности муниципальных служащих </w:t>
            </w:r>
          </w:p>
        </w:tc>
        <w:tc>
          <w:tcPr>
            <w:tcW w:w="1931" w:type="dxa"/>
          </w:tcPr>
          <w:p w:rsidR="00964EEC" w:rsidRPr="00044D4D" w:rsidRDefault="00964EEC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964EEC" w:rsidRPr="00044D4D" w:rsidRDefault="00235010" w:rsidP="00235010">
            <w:pPr>
              <w:pStyle w:val="a6"/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Повышение эффективности управления бюджетными ресурсами, сокращение расходов</w:t>
            </w:r>
          </w:p>
        </w:tc>
        <w:tc>
          <w:tcPr>
            <w:tcW w:w="2617" w:type="dxa"/>
          </w:tcPr>
          <w:p w:rsidR="00964EEC" w:rsidRPr="00EC5747" w:rsidRDefault="00964EEC" w:rsidP="0096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964EEC" w:rsidRPr="00FE3A73" w:rsidRDefault="00964EEC" w:rsidP="00964EEC">
            <w:pPr>
              <w:ind w:right="1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кадрами</w:t>
            </w:r>
          </w:p>
        </w:tc>
      </w:tr>
      <w:tr w:rsidR="0025733D" w:rsidRPr="00FE3A73" w:rsidTr="0025733D">
        <w:tc>
          <w:tcPr>
            <w:tcW w:w="673" w:type="dxa"/>
            <w:vMerge/>
          </w:tcPr>
          <w:p w:rsidR="00964EEC" w:rsidRPr="00044D4D" w:rsidRDefault="00964EEC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964EEC" w:rsidRPr="00044D4D" w:rsidRDefault="00964EEC" w:rsidP="00EE4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964EEC" w:rsidRPr="00044D4D" w:rsidRDefault="00964EEC" w:rsidP="001F7228">
            <w:pPr>
              <w:rPr>
                <w:rFonts w:ascii="Times New Roman" w:hAnsi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>Организация профессиональной подготовки,  курсов повышения квалификации муниципальных служащих</w:t>
            </w:r>
          </w:p>
        </w:tc>
        <w:tc>
          <w:tcPr>
            <w:tcW w:w="1931" w:type="dxa"/>
          </w:tcPr>
          <w:p w:rsidR="00964EEC" w:rsidRPr="00044D4D" w:rsidRDefault="00964EEC" w:rsidP="002C79E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964EEC" w:rsidRPr="00044D4D" w:rsidRDefault="00E44046" w:rsidP="00235010">
            <w:pPr>
              <w:rPr>
                <w:rFonts w:ascii="Times New Roman" w:hAnsi="Times New Roman"/>
                <w:sz w:val="24"/>
                <w:szCs w:val="24"/>
              </w:rPr>
            </w:pPr>
            <w:r w:rsidRPr="00044D4D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235010" w:rsidRPr="00044D4D">
              <w:rPr>
                <w:rFonts w:ascii="Times New Roman" w:hAnsi="Times New Roman"/>
                <w:sz w:val="24"/>
                <w:szCs w:val="24"/>
              </w:rPr>
              <w:t>профессиональной подготовки, качества услуг, предоставляемых структурными подразделениями Администрации</w:t>
            </w:r>
          </w:p>
        </w:tc>
        <w:tc>
          <w:tcPr>
            <w:tcW w:w="2617" w:type="dxa"/>
          </w:tcPr>
          <w:p w:rsidR="00964EEC" w:rsidRPr="00EC5747" w:rsidRDefault="00964EEC" w:rsidP="0096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</w:t>
            </w:r>
          </w:p>
          <w:p w:rsidR="00964EEC" w:rsidRPr="00FE3A73" w:rsidRDefault="00964EEC" w:rsidP="00964E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74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кадрами</w:t>
            </w:r>
          </w:p>
        </w:tc>
      </w:tr>
      <w:tr w:rsidR="0025733D" w:rsidRPr="00FE3A73" w:rsidTr="0025733D">
        <w:tc>
          <w:tcPr>
            <w:tcW w:w="673" w:type="dxa"/>
          </w:tcPr>
          <w:p w:rsidR="00964EEC" w:rsidRPr="00044D4D" w:rsidRDefault="00044D4D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4EEC" w:rsidRPr="0004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64EEC" w:rsidRPr="00044D4D" w:rsidRDefault="00964EEC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89" w:type="dxa"/>
          </w:tcPr>
          <w:p w:rsidR="00964EEC" w:rsidRPr="00044D4D" w:rsidRDefault="00672906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Проведение городской  комплексной спартакиады среди лиц с ограниченными физическими возможностями </w:t>
            </w:r>
            <w:r w:rsidRPr="00044D4D">
              <w:rPr>
                <w:sz w:val="24"/>
                <w:szCs w:val="24"/>
              </w:rPr>
              <w:lastRenderedPageBreak/>
              <w:t>здоровья, посвященной Году охраны окружающей среды</w:t>
            </w:r>
          </w:p>
        </w:tc>
        <w:tc>
          <w:tcPr>
            <w:tcW w:w="1931" w:type="dxa"/>
          </w:tcPr>
          <w:p w:rsidR="00964EEC" w:rsidRPr="00044D4D" w:rsidRDefault="00964EEC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89" w:type="dxa"/>
          </w:tcPr>
          <w:p w:rsidR="00964EEC" w:rsidRPr="00044D4D" w:rsidRDefault="00672906" w:rsidP="00672906">
            <w:pPr>
              <w:rPr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физической культуры и спорта как средства здорового образа жизни и реабилитации </w:t>
            </w: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инвалидов различных категорий; укрепление спортивных связей между общественными организациями инвалидов г. Салавата</w:t>
            </w:r>
          </w:p>
        </w:tc>
        <w:tc>
          <w:tcPr>
            <w:tcW w:w="2617" w:type="dxa"/>
          </w:tcPr>
          <w:p w:rsidR="00964EEC" w:rsidRPr="00672906" w:rsidRDefault="00964EEC" w:rsidP="0067290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  <w:r w:rsidR="00672906" w:rsidRPr="00672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2906" w:rsidRPr="00672906" w:rsidRDefault="00672906" w:rsidP="0067290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90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</w:t>
            </w:r>
            <w:r w:rsidRPr="0067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</w:t>
            </w:r>
          </w:p>
          <w:p w:rsidR="00672906" w:rsidRPr="00672906" w:rsidRDefault="00672906" w:rsidP="00672906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D" w:rsidRPr="00FE3A73" w:rsidTr="0025733D">
        <w:tc>
          <w:tcPr>
            <w:tcW w:w="673" w:type="dxa"/>
          </w:tcPr>
          <w:p w:rsidR="00044D4D" w:rsidRPr="00044D4D" w:rsidRDefault="00044D4D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44D4D" w:rsidRPr="00044D4D" w:rsidRDefault="00044D4D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044D4D" w:rsidRPr="00044D4D" w:rsidRDefault="00044D4D" w:rsidP="00D74F65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>Проведение спортивных мероприятий, посвященных 65-летию города</w:t>
            </w:r>
          </w:p>
        </w:tc>
        <w:tc>
          <w:tcPr>
            <w:tcW w:w="1931" w:type="dxa"/>
          </w:tcPr>
          <w:p w:rsidR="00044D4D" w:rsidRPr="00044D4D" w:rsidRDefault="00044D4D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44D4D" w:rsidRPr="00044D4D" w:rsidRDefault="00044D4D" w:rsidP="00BB0DB5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044D4D">
              <w:rPr>
                <w:rFonts w:ascii="Times New Roman" w:hAnsi="Times New Roman" w:cs="Times New Roman"/>
                <w:b w:val="0"/>
              </w:rPr>
              <w:t>Привлечение населения к систематическим занятиям физической культурой и спортом, пропаганда здорового образа жизни</w:t>
            </w:r>
          </w:p>
        </w:tc>
        <w:tc>
          <w:tcPr>
            <w:tcW w:w="2617" w:type="dxa"/>
          </w:tcPr>
          <w:p w:rsidR="00044D4D" w:rsidRPr="00672906" w:rsidRDefault="00044D4D" w:rsidP="00044D4D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90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:rsidR="00044D4D" w:rsidRPr="00BB0DB5" w:rsidRDefault="00044D4D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906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34CC3" w:rsidRPr="00FE3A73" w:rsidTr="0025733D">
        <w:tc>
          <w:tcPr>
            <w:tcW w:w="673" w:type="dxa"/>
            <w:vMerge w:val="restart"/>
          </w:tcPr>
          <w:p w:rsidR="00034CC3" w:rsidRPr="00044D4D" w:rsidRDefault="00034CC3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vMerge w:val="restart"/>
          </w:tcPr>
          <w:p w:rsidR="00034CC3" w:rsidRPr="00044D4D" w:rsidRDefault="00034CC3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</w:t>
            </w:r>
          </w:p>
        </w:tc>
        <w:tc>
          <w:tcPr>
            <w:tcW w:w="3889" w:type="dxa"/>
          </w:tcPr>
          <w:p w:rsidR="00034CC3" w:rsidRPr="00044D4D" w:rsidRDefault="00034CC3" w:rsidP="00022E52">
            <w:pPr>
              <w:pStyle w:val="a6"/>
              <w:tabs>
                <w:tab w:val="num" w:pos="1245"/>
              </w:tabs>
              <w:ind w:right="111"/>
              <w:jc w:val="left"/>
              <w:rPr>
                <w:sz w:val="24"/>
                <w:szCs w:val="24"/>
              </w:rPr>
            </w:pPr>
            <w:r w:rsidRPr="00044D4D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П</w:t>
            </w:r>
            <w:r w:rsidRPr="00044D4D">
              <w:rPr>
                <w:sz w:val="24"/>
                <w:szCs w:val="24"/>
              </w:rPr>
              <w:t>рограммы сохранения и развития культуры города Салават на 2011-2015гг</w:t>
            </w:r>
          </w:p>
        </w:tc>
        <w:tc>
          <w:tcPr>
            <w:tcW w:w="1931" w:type="dxa"/>
          </w:tcPr>
          <w:p w:rsidR="00034CC3" w:rsidRPr="00044D4D" w:rsidRDefault="00034CC3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34CC3" w:rsidRPr="00044D4D" w:rsidRDefault="00034CC3" w:rsidP="00BB0DB5">
            <w:pPr>
              <w:pStyle w:val="ConsPlusTitle"/>
              <w:widowControl/>
            </w:pPr>
            <w:r w:rsidRPr="00044D4D">
              <w:rPr>
                <w:rFonts w:ascii="Times New Roman" w:hAnsi="Times New Roman"/>
                <w:b w:val="0"/>
              </w:rPr>
              <w:t>Поддержка и развитие народного творчества, сохранение и развитие самобытных национальных культур, поддержка молодых дарований, совершенствование деятельности и развитие материально – технической базы учреждений культуры города</w:t>
            </w:r>
          </w:p>
        </w:tc>
        <w:tc>
          <w:tcPr>
            <w:tcW w:w="2617" w:type="dxa"/>
          </w:tcPr>
          <w:p w:rsidR="00034CC3" w:rsidRPr="00BB0DB5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D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034CC3" w:rsidRPr="00FE3A73" w:rsidTr="0025733D">
        <w:tc>
          <w:tcPr>
            <w:tcW w:w="673" w:type="dxa"/>
            <w:vMerge/>
          </w:tcPr>
          <w:p w:rsidR="00034CC3" w:rsidRPr="00044D4D" w:rsidRDefault="00034CC3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34CC3" w:rsidRPr="00044D4D" w:rsidRDefault="00034CC3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034CC3" w:rsidRPr="00044D4D" w:rsidRDefault="00034CC3" w:rsidP="00EF33A3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Проведение ремонта зданий учреждений культуры</w:t>
            </w:r>
          </w:p>
          <w:p w:rsidR="00034CC3" w:rsidRPr="00044D4D" w:rsidRDefault="00034CC3" w:rsidP="00EF33A3">
            <w:pPr>
              <w:pStyle w:val="a8"/>
              <w:ind w:left="0"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31" w:type="dxa"/>
          </w:tcPr>
          <w:p w:rsidR="00034CC3" w:rsidRPr="00044D4D" w:rsidRDefault="00034CC3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34CC3" w:rsidRPr="00034CC3" w:rsidRDefault="00034CC3" w:rsidP="00034CC3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lang w:eastAsia="en-US" w:bidi="en-US"/>
              </w:rPr>
            </w:pPr>
            <w:r w:rsidRPr="00044D4D"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Улучшение обновление фасадов историко-краеведческого музея и Картинной галереи, ремонт залов картинной галереи; проведен</w:t>
            </w:r>
            <w:r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ие косметического ремонта здания</w:t>
            </w:r>
            <w:r w:rsidRPr="00044D4D"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д</w:t>
            </w:r>
            <w:r w:rsidRPr="00044D4D"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етской художественной школ</w:t>
            </w:r>
            <w:r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ы</w:t>
            </w:r>
            <w:r w:rsidRPr="00044D4D">
              <w:rPr>
                <w:rFonts w:ascii="Times New Roman" w:eastAsia="Calibri" w:hAnsi="Times New Roman" w:cs="Times New Roman"/>
                <w:b w:val="0"/>
                <w:lang w:eastAsia="en-US" w:bidi="en-US"/>
              </w:rPr>
              <w:t>;</w:t>
            </w:r>
          </w:p>
        </w:tc>
        <w:tc>
          <w:tcPr>
            <w:tcW w:w="2617" w:type="dxa"/>
          </w:tcPr>
          <w:p w:rsidR="00034CC3" w:rsidRPr="00BB0DB5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D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034CC3" w:rsidRPr="00FE3A73" w:rsidTr="0025733D">
        <w:tc>
          <w:tcPr>
            <w:tcW w:w="673" w:type="dxa"/>
            <w:vMerge/>
          </w:tcPr>
          <w:p w:rsidR="00034CC3" w:rsidRPr="00044D4D" w:rsidRDefault="00034CC3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34CC3" w:rsidRPr="00044D4D" w:rsidRDefault="00034CC3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034CC3" w:rsidRPr="006254D9" w:rsidRDefault="00034CC3" w:rsidP="006254D9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254D9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Укрепление материально-технической базы учреждений культуры (</w:t>
            </w:r>
            <w:r w:rsidRPr="00625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</w:t>
            </w:r>
            <w:r w:rsidRPr="006254D9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сцены и </w:t>
            </w:r>
            <w:r w:rsidRPr="0062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юрты для проведения  </w:t>
            </w:r>
            <w:r w:rsidRPr="006254D9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r w:rsidRPr="006254D9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приобретение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r w:rsidRPr="006254D9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аппаратуры,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оргтехники)</w:t>
            </w:r>
          </w:p>
        </w:tc>
        <w:tc>
          <w:tcPr>
            <w:tcW w:w="1931" w:type="dxa"/>
          </w:tcPr>
          <w:p w:rsidR="00034CC3" w:rsidRPr="00044D4D" w:rsidRDefault="00034CC3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34CC3" w:rsidRPr="006254D9" w:rsidRDefault="00034CC3" w:rsidP="006254D9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</w:rPr>
              <w:t xml:space="preserve">Улучшение качества оказываемых </w:t>
            </w:r>
            <w:r w:rsidRPr="00044D4D">
              <w:rPr>
                <w:rFonts w:ascii="Times New Roman" w:hAnsi="Times New Roman"/>
                <w:b w:val="0"/>
              </w:rPr>
              <w:t xml:space="preserve"> услуг в сфере культуры</w:t>
            </w:r>
          </w:p>
        </w:tc>
        <w:tc>
          <w:tcPr>
            <w:tcW w:w="2617" w:type="dxa"/>
          </w:tcPr>
          <w:p w:rsidR="00034CC3" w:rsidRPr="00BB0DB5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D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034CC3" w:rsidRPr="00FE3A73" w:rsidTr="0025733D">
        <w:tc>
          <w:tcPr>
            <w:tcW w:w="673" w:type="dxa"/>
            <w:vMerge/>
          </w:tcPr>
          <w:p w:rsidR="00034CC3" w:rsidRPr="00044D4D" w:rsidRDefault="00034CC3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34CC3" w:rsidRPr="00044D4D" w:rsidRDefault="00034CC3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034CC3" w:rsidRPr="00044D4D" w:rsidRDefault="00034CC3" w:rsidP="00BA62B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муниципального учреждения культуры на базе дворца культуры «Алмаз»</w:t>
            </w:r>
          </w:p>
        </w:tc>
        <w:tc>
          <w:tcPr>
            <w:tcW w:w="1931" w:type="dxa"/>
          </w:tcPr>
          <w:p w:rsidR="00034CC3" w:rsidRPr="00044D4D" w:rsidRDefault="00034CC3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34CC3" w:rsidRPr="00044D4D" w:rsidRDefault="00034CC3" w:rsidP="00FB5DE3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Сохранение социально-культурного направления деятельности дворца</w:t>
            </w:r>
          </w:p>
        </w:tc>
        <w:tc>
          <w:tcPr>
            <w:tcW w:w="2617" w:type="dxa"/>
          </w:tcPr>
          <w:p w:rsidR="00034CC3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D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культуры</w:t>
            </w:r>
          </w:p>
          <w:p w:rsidR="00034CC3" w:rsidRPr="00BB0DB5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C3" w:rsidRPr="00FE3A73" w:rsidTr="0025733D">
        <w:tc>
          <w:tcPr>
            <w:tcW w:w="673" w:type="dxa"/>
            <w:vMerge/>
          </w:tcPr>
          <w:p w:rsidR="00034CC3" w:rsidRPr="00044D4D" w:rsidRDefault="00034CC3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34CC3" w:rsidRPr="00044D4D" w:rsidRDefault="00034CC3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034CC3" w:rsidRPr="00044D4D" w:rsidRDefault="00034CC3" w:rsidP="00BA62B4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4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праздничных мероприятий, посвященных 65 –летнему юбилею  города </w:t>
            </w:r>
          </w:p>
        </w:tc>
        <w:tc>
          <w:tcPr>
            <w:tcW w:w="1931" w:type="dxa"/>
          </w:tcPr>
          <w:p w:rsidR="00034CC3" w:rsidRPr="00044D4D" w:rsidRDefault="00034CC3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034CC3" w:rsidRPr="00044D4D" w:rsidRDefault="00034CC3" w:rsidP="00FB5DE3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044D4D">
              <w:rPr>
                <w:rFonts w:ascii="Times New Roman" w:hAnsi="Times New Roman"/>
                <w:b w:val="0"/>
              </w:rPr>
              <w:t>Повышение удовлетворенности населения качеством услуг в сфере культуры</w:t>
            </w:r>
          </w:p>
        </w:tc>
        <w:tc>
          <w:tcPr>
            <w:tcW w:w="2617" w:type="dxa"/>
          </w:tcPr>
          <w:p w:rsidR="00034CC3" w:rsidRPr="00BB0DB5" w:rsidRDefault="00034CC3" w:rsidP="00A6406E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D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отдел культуры</w:t>
            </w:r>
          </w:p>
        </w:tc>
      </w:tr>
      <w:tr w:rsidR="002D0D2B" w:rsidRPr="00FE3A73" w:rsidTr="0025733D">
        <w:tc>
          <w:tcPr>
            <w:tcW w:w="673" w:type="dxa"/>
            <w:vMerge w:val="restart"/>
          </w:tcPr>
          <w:p w:rsidR="002D0D2B" w:rsidRPr="00044D4D" w:rsidRDefault="002D0D2B" w:rsidP="00541977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vMerge w:val="restart"/>
          </w:tcPr>
          <w:p w:rsidR="002D0D2B" w:rsidRPr="00044D4D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889" w:type="dxa"/>
          </w:tcPr>
          <w:p w:rsidR="002D0D2B" w:rsidRPr="00044D4D" w:rsidRDefault="002D0D2B" w:rsidP="00384E0F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</w:t>
            </w:r>
            <w:r w:rsidRPr="00044D4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едерального закона от 27 июля 2010 г. N 210-ФЗ "Об организации предоставления государственных и муниципальных услуг"</w:t>
            </w:r>
          </w:p>
        </w:tc>
        <w:tc>
          <w:tcPr>
            <w:tcW w:w="1931" w:type="dxa"/>
          </w:tcPr>
          <w:p w:rsidR="002D0D2B" w:rsidRPr="00044D4D" w:rsidRDefault="002D0D2B" w:rsidP="0054197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2D0D2B" w:rsidRPr="002D0D2B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предоставлению муниципальных услуг в электронном виде </w:t>
            </w:r>
          </w:p>
          <w:p w:rsidR="002D0D2B" w:rsidRPr="00044D4D" w:rsidRDefault="002D0D2B" w:rsidP="002D0D2B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D0D2B" w:rsidRPr="00964EEC" w:rsidRDefault="002D0D2B" w:rsidP="00B206D8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EE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Администрации, организации и учреждения, оказывающие муниципальные услуги</w:t>
            </w:r>
          </w:p>
        </w:tc>
      </w:tr>
      <w:tr w:rsidR="002D0D2B" w:rsidRPr="00FE3A73" w:rsidTr="0025733D">
        <w:tc>
          <w:tcPr>
            <w:tcW w:w="673" w:type="dxa"/>
            <w:vMerge/>
          </w:tcPr>
          <w:p w:rsidR="002D0D2B" w:rsidRPr="00044D4D" w:rsidRDefault="002D0D2B" w:rsidP="00541977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D0D2B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2D0D2B" w:rsidRPr="00044D4D" w:rsidRDefault="002D0D2B" w:rsidP="00384E0F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территории городского округа многофункционального центра (МФЦ)</w:t>
            </w:r>
          </w:p>
        </w:tc>
        <w:tc>
          <w:tcPr>
            <w:tcW w:w="1931" w:type="dxa"/>
          </w:tcPr>
          <w:p w:rsidR="002D0D2B" w:rsidRPr="00044D4D" w:rsidRDefault="002D0D2B" w:rsidP="0054197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2D0D2B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МФЦ позволит улучшить качество предоставляемых муниципальных услуг</w:t>
            </w:r>
          </w:p>
          <w:p w:rsidR="002D0D2B" w:rsidRDefault="002D0D2B" w:rsidP="007005C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создание МФЦ в бюджете городского округа на 2013 год </w:t>
            </w:r>
            <w:r w:rsidR="0070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 млн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17" w:type="dxa"/>
          </w:tcPr>
          <w:p w:rsidR="002D0D2B" w:rsidRDefault="002D0D2B" w:rsidP="00B206D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Pr="00EF33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D2B" w:rsidRPr="00964EEC" w:rsidRDefault="002D0D2B" w:rsidP="00B206D8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EE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Администрации, организации и учреждения, оказывающие муниципальные услуги</w:t>
            </w:r>
          </w:p>
        </w:tc>
      </w:tr>
      <w:tr w:rsidR="002D0D2B" w:rsidRPr="00FE3A73" w:rsidTr="0025733D">
        <w:tc>
          <w:tcPr>
            <w:tcW w:w="673" w:type="dxa"/>
            <w:vMerge w:val="restart"/>
          </w:tcPr>
          <w:p w:rsidR="002D0D2B" w:rsidRPr="00044D4D" w:rsidRDefault="002D0D2B" w:rsidP="00541977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87" w:type="dxa"/>
            <w:vMerge w:val="restart"/>
          </w:tcPr>
          <w:p w:rsidR="002D0D2B" w:rsidRPr="00044D4D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охрана окружающей среды</w:t>
            </w:r>
          </w:p>
        </w:tc>
        <w:tc>
          <w:tcPr>
            <w:tcW w:w="3889" w:type="dxa"/>
          </w:tcPr>
          <w:p w:rsidR="002D0D2B" w:rsidRPr="00044D4D" w:rsidRDefault="002D0D2B" w:rsidP="007005C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70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мероприятий, </w:t>
            </w:r>
            <w:r w:rsidR="0070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7005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охраны окружающей среды</w:t>
            </w:r>
            <w:r w:rsidR="0070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округе</w:t>
            </w:r>
            <w:r w:rsidR="008A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Салават </w:t>
            </w:r>
          </w:p>
        </w:tc>
        <w:tc>
          <w:tcPr>
            <w:tcW w:w="1931" w:type="dxa"/>
          </w:tcPr>
          <w:p w:rsidR="002D0D2B" w:rsidRPr="00044D4D" w:rsidRDefault="002D0D2B" w:rsidP="0054197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2D0D2B" w:rsidRPr="007005C7" w:rsidRDefault="007005C7" w:rsidP="007005C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C7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среду; уменьшение выбросов вредных веществ в атмосферу; привлечение населения к благоустройству города, повышение экологической культуры населения</w:t>
            </w:r>
          </w:p>
        </w:tc>
        <w:tc>
          <w:tcPr>
            <w:tcW w:w="2617" w:type="dxa"/>
          </w:tcPr>
          <w:p w:rsidR="002D0D2B" w:rsidRPr="007005C7" w:rsidRDefault="002D0D2B" w:rsidP="00B206D8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отдел строительства, транспорта и связи</w:t>
            </w:r>
          </w:p>
        </w:tc>
      </w:tr>
      <w:tr w:rsidR="002D0D2B" w:rsidRPr="00FE3A73" w:rsidTr="0025733D">
        <w:tc>
          <w:tcPr>
            <w:tcW w:w="673" w:type="dxa"/>
            <w:vMerge/>
          </w:tcPr>
          <w:p w:rsidR="002D0D2B" w:rsidRPr="00044D4D" w:rsidRDefault="002D0D2B" w:rsidP="00541977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D0D2B" w:rsidRPr="00044D4D" w:rsidRDefault="002D0D2B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2D0D2B" w:rsidRPr="00044D4D" w:rsidRDefault="002D0D2B" w:rsidP="00384E0F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автоматизированных станций контроля атмосферного воздуха</w:t>
            </w:r>
          </w:p>
        </w:tc>
        <w:tc>
          <w:tcPr>
            <w:tcW w:w="1931" w:type="dxa"/>
          </w:tcPr>
          <w:p w:rsidR="002D0D2B" w:rsidRPr="00044D4D" w:rsidRDefault="002D0D2B" w:rsidP="0054197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9" w:type="dxa"/>
          </w:tcPr>
          <w:p w:rsidR="002D0D2B" w:rsidRPr="00044D4D" w:rsidRDefault="002D0D2B" w:rsidP="007E03F5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автоматизированного </w:t>
            </w:r>
            <w:proofErr w:type="gramStart"/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выбросами загрязняющих веществ в атмосферу</w:t>
            </w:r>
          </w:p>
        </w:tc>
        <w:tc>
          <w:tcPr>
            <w:tcW w:w="2617" w:type="dxa"/>
          </w:tcPr>
          <w:p w:rsidR="002D0D2B" w:rsidRPr="00EF33A3" w:rsidRDefault="002D0D2B" w:rsidP="007E03F5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A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отдел строительства, транспорта и связи</w:t>
            </w:r>
          </w:p>
        </w:tc>
      </w:tr>
    </w:tbl>
    <w:p w:rsidR="00D25734" w:rsidRPr="00F96E2E" w:rsidRDefault="00D25734" w:rsidP="00541977">
      <w:pPr>
        <w:ind w:right="11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25734" w:rsidRPr="00F96E2E" w:rsidSect="009D3CA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808"/>
    <w:rsid w:val="0000666C"/>
    <w:rsid w:val="00011741"/>
    <w:rsid w:val="000146CF"/>
    <w:rsid w:val="00022E52"/>
    <w:rsid w:val="00034CC3"/>
    <w:rsid w:val="00044D4D"/>
    <w:rsid w:val="000703A6"/>
    <w:rsid w:val="00072320"/>
    <w:rsid w:val="00074BD2"/>
    <w:rsid w:val="00075730"/>
    <w:rsid w:val="00085E06"/>
    <w:rsid w:val="00094A27"/>
    <w:rsid w:val="00095F0B"/>
    <w:rsid w:val="000C670F"/>
    <w:rsid w:val="000E69CC"/>
    <w:rsid w:val="00127675"/>
    <w:rsid w:val="001358E1"/>
    <w:rsid w:val="001359E5"/>
    <w:rsid w:val="00163ECA"/>
    <w:rsid w:val="00165227"/>
    <w:rsid w:val="00170B4B"/>
    <w:rsid w:val="00192940"/>
    <w:rsid w:val="001A70B7"/>
    <w:rsid w:val="001D08AB"/>
    <w:rsid w:val="001F7228"/>
    <w:rsid w:val="0020035E"/>
    <w:rsid w:val="00202678"/>
    <w:rsid w:val="0020639A"/>
    <w:rsid w:val="00235010"/>
    <w:rsid w:val="0025241E"/>
    <w:rsid w:val="002524E5"/>
    <w:rsid w:val="00256C83"/>
    <w:rsid w:val="0025733D"/>
    <w:rsid w:val="002B450B"/>
    <w:rsid w:val="002D0D2B"/>
    <w:rsid w:val="002D4C88"/>
    <w:rsid w:val="002F6B09"/>
    <w:rsid w:val="00300244"/>
    <w:rsid w:val="0031693B"/>
    <w:rsid w:val="00335EEC"/>
    <w:rsid w:val="00344B11"/>
    <w:rsid w:val="003461DA"/>
    <w:rsid w:val="003644E6"/>
    <w:rsid w:val="0037241E"/>
    <w:rsid w:val="00374884"/>
    <w:rsid w:val="00384E0F"/>
    <w:rsid w:val="003B4CA8"/>
    <w:rsid w:val="003B7EED"/>
    <w:rsid w:val="003C5E24"/>
    <w:rsid w:val="003E334C"/>
    <w:rsid w:val="003F3D60"/>
    <w:rsid w:val="003F6D19"/>
    <w:rsid w:val="00401598"/>
    <w:rsid w:val="00441076"/>
    <w:rsid w:val="00460F03"/>
    <w:rsid w:val="0046556A"/>
    <w:rsid w:val="00470395"/>
    <w:rsid w:val="0048678F"/>
    <w:rsid w:val="004C76FC"/>
    <w:rsid w:val="004D6332"/>
    <w:rsid w:val="004D7334"/>
    <w:rsid w:val="004F4972"/>
    <w:rsid w:val="0050125D"/>
    <w:rsid w:val="005029C6"/>
    <w:rsid w:val="0051023F"/>
    <w:rsid w:val="005115DD"/>
    <w:rsid w:val="0052122B"/>
    <w:rsid w:val="005225E2"/>
    <w:rsid w:val="00540119"/>
    <w:rsid w:val="00540D0A"/>
    <w:rsid w:val="00541977"/>
    <w:rsid w:val="005560F7"/>
    <w:rsid w:val="005A4DDB"/>
    <w:rsid w:val="005D5F64"/>
    <w:rsid w:val="005E14E8"/>
    <w:rsid w:val="005F3483"/>
    <w:rsid w:val="0060344E"/>
    <w:rsid w:val="006254D9"/>
    <w:rsid w:val="0062560A"/>
    <w:rsid w:val="006479BE"/>
    <w:rsid w:val="00656E0F"/>
    <w:rsid w:val="00672906"/>
    <w:rsid w:val="00672E3E"/>
    <w:rsid w:val="006C0BDB"/>
    <w:rsid w:val="006D5DAF"/>
    <w:rsid w:val="006F377E"/>
    <w:rsid w:val="006F49A0"/>
    <w:rsid w:val="007005C7"/>
    <w:rsid w:val="00703B81"/>
    <w:rsid w:val="00734221"/>
    <w:rsid w:val="007439E6"/>
    <w:rsid w:val="00752B1D"/>
    <w:rsid w:val="007609C1"/>
    <w:rsid w:val="007722C1"/>
    <w:rsid w:val="00790310"/>
    <w:rsid w:val="00790D53"/>
    <w:rsid w:val="007C4709"/>
    <w:rsid w:val="007E37A5"/>
    <w:rsid w:val="00801BB2"/>
    <w:rsid w:val="00802B9B"/>
    <w:rsid w:val="00810E1C"/>
    <w:rsid w:val="00814A98"/>
    <w:rsid w:val="008474C2"/>
    <w:rsid w:val="00864913"/>
    <w:rsid w:val="00871C72"/>
    <w:rsid w:val="00872E9E"/>
    <w:rsid w:val="008A3554"/>
    <w:rsid w:val="008C12FD"/>
    <w:rsid w:val="008C2DB0"/>
    <w:rsid w:val="008D7CE9"/>
    <w:rsid w:val="008E077A"/>
    <w:rsid w:val="008E3970"/>
    <w:rsid w:val="008F0E62"/>
    <w:rsid w:val="00930C3B"/>
    <w:rsid w:val="009411EC"/>
    <w:rsid w:val="00944761"/>
    <w:rsid w:val="00964EEC"/>
    <w:rsid w:val="009B54D5"/>
    <w:rsid w:val="009D0940"/>
    <w:rsid w:val="009D3CAD"/>
    <w:rsid w:val="009D7DEB"/>
    <w:rsid w:val="009F480E"/>
    <w:rsid w:val="009F5FB9"/>
    <w:rsid w:val="00A319E8"/>
    <w:rsid w:val="00A3631A"/>
    <w:rsid w:val="00A37BBD"/>
    <w:rsid w:val="00A434F5"/>
    <w:rsid w:val="00A73D28"/>
    <w:rsid w:val="00A745D7"/>
    <w:rsid w:val="00A76225"/>
    <w:rsid w:val="00AA2852"/>
    <w:rsid w:val="00AB2FA3"/>
    <w:rsid w:val="00AC1DB8"/>
    <w:rsid w:val="00AC5CDF"/>
    <w:rsid w:val="00AE54AC"/>
    <w:rsid w:val="00AE5BCC"/>
    <w:rsid w:val="00B206D8"/>
    <w:rsid w:val="00B22C2C"/>
    <w:rsid w:val="00B638B1"/>
    <w:rsid w:val="00B80F70"/>
    <w:rsid w:val="00B96788"/>
    <w:rsid w:val="00BA62B4"/>
    <w:rsid w:val="00BB0C54"/>
    <w:rsid w:val="00BB0DB5"/>
    <w:rsid w:val="00BB3801"/>
    <w:rsid w:val="00BC163D"/>
    <w:rsid w:val="00BD551A"/>
    <w:rsid w:val="00C0052A"/>
    <w:rsid w:val="00C03AAF"/>
    <w:rsid w:val="00C04222"/>
    <w:rsid w:val="00C14224"/>
    <w:rsid w:val="00C14F24"/>
    <w:rsid w:val="00C371A9"/>
    <w:rsid w:val="00C45300"/>
    <w:rsid w:val="00C560B8"/>
    <w:rsid w:val="00CC2AF0"/>
    <w:rsid w:val="00CC2C34"/>
    <w:rsid w:val="00CD324A"/>
    <w:rsid w:val="00CD4E6E"/>
    <w:rsid w:val="00CE3ADE"/>
    <w:rsid w:val="00CE62E6"/>
    <w:rsid w:val="00CF2364"/>
    <w:rsid w:val="00D11BA2"/>
    <w:rsid w:val="00D20996"/>
    <w:rsid w:val="00D25734"/>
    <w:rsid w:val="00D35CA0"/>
    <w:rsid w:val="00D63AC6"/>
    <w:rsid w:val="00D74F65"/>
    <w:rsid w:val="00D90F9E"/>
    <w:rsid w:val="00D92B43"/>
    <w:rsid w:val="00DA11C1"/>
    <w:rsid w:val="00DA27A7"/>
    <w:rsid w:val="00DA3B8B"/>
    <w:rsid w:val="00DA5F70"/>
    <w:rsid w:val="00DC4D15"/>
    <w:rsid w:val="00DC5AAE"/>
    <w:rsid w:val="00DD0047"/>
    <w:rsid w:val="00E04008"/>
    <w:rsid w:val="00E240E1"/>
    <w:rsid w:val="00E26BD0"/>
    <w:rsid w:val="00E44046"/>
    <w:rsid w:val="00E47403"/>
    <w:rsid w:val="00E507FC"/>
    <w:rsid w:val="00E7579A"/>
    <w:rsid w:val="00E87B9B"/>
    <w:rsid w:val="00EB60B3"/>
    <w:rsid w:val="00EC24EB"/>
    <w:rsid w:val="00EC5747"/>
    <w:rsid w:val="00EE4B73"/>
    <w:rsid w:val="00EF33A3"/>
    <w:rsid w:val="00F10816"/>
    <w:rsid w:val="00F237A5"/>
    <w:rsid w:val="00F25586"/>
    <w:rsid w:val="00F34BB2"/>
    <w:rsid w:val="00F429CF"/>
    <w:rsid w:val="00F71BA3"/>
    <w:rsid w:val="00F76323"/>
    <w:rsid w:val="00F82086"/>
    <w:rsid w:val="00F86808"/>
    <w:rsid w:val="00F96E2E"/>
    <w:rsid w:val="00FA08D1"/>
    <w:rsid w:val="00FA34B9"/>
    <w:rsid w:val="00FA350D"/>
    <w:rsid w:val="00FA3E04"/>
    <w:rsid w:val="00FA4638"/>
    <w:rsid w:val="00FB1591"/>
    <w:rsid w:val="00FB3641"/>
    <w:rsid w:val="00FB4140"/>
    <w:rsid w:val="00FB5DE3"/>
    <w:rsid w:val="00F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9231-0575-4A20-A007-DD65880C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kanukova</cp:lastModifiedBy>
  <cp:revision>94</cp:revision>
  <cp:lastPrinted>2013-02-14T08:48:00Z</cp:lastPrinted>
  <dcterms:created xsi:type="dcterms:W3CDTF">2011-03-24T07:33:00Z</dcterms:created>
  <dcterms:modified xsi:type="dcterms:W3CDTF">2013-02-15T08:57:00Z</dcterms:modified>
</cp:coreProperties>
</file>