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FD" w:rsidRPr="004A38FD" w:rsidRDefault="004A38FD" w:rsidP="004A38FD">
      <w:pPr>
        <w:tabs>
          <w:tab w:val="left" w:pos="9540"/>
        </w:tabs>
        <w:autoSpaceDE w:val="0"/>
        <w:autoSpaceDN w:val="0"/>
        <w:adjustRightInd w:val="0"/>
        <w:spacing w:line="240" w:lineRule="exact"/>
        <w:ind w:left="6096"/>
      </w:pPr>
      <w:r w:rsidRPr="004A38FD">
        <w:t xml:space="preserve">Приложение № 2 к  решению Совета городского округа </w:t>
      </w:r>
    </w:p>
    <w:p w:rsidR="004A38FD" w:rsidRPr="004A38FD" w:rsidRDefault="004A38FD" w:rsidP="004A38FD">
      <w:pPr>
        <w:tabs>
          <w:tab w:val="left" w:pos="9540"/>
        </w:tabs>
        <w:autoSpaceDE w:val="0"/>
        <w:autoSpaceDN w:val="0"/>
        <w:adjustRightInd w:val="0"/>
        <w:spacing w:line="240" w:lineRule="exact"/>
      </w:pPr>
      <w:r>
        <w:t xml:space="preserve">                                                                                                      </w:t>
      </w:r>
      <w:r w:rsidRPr="004A38FD">
        <w:t xml:space="preserve">город Салават </w:t>
      </w:r>
    </w:p>
    <w:p w:rsidR="004A38FD" w:rsidRPr="004A38FD" w:rsidRDefault="004A38FD" w:rsidP="004A38FD">
      <w:pPr>
        <w:tabs>
          <w:tab w:val="left" w:pos="9356"/>
        </w:tabs>
        <w:autoSpaceDE w:val="0"/>
        <w:autoSpaceDN w:val="0"/>
        <w:adjustRightInd w:val="0"/>
        <w:spacing w:line="240" w:lineRule="exact"/>
      </w:pPr>
      <w:r>
        <w:t xml:space="preserve">                                                                                                      </w:t>
      </w:r>
      <w:r w:rsidRPr="004A38FD">
        <w:t>Республики Башкортостан</w:t>
      </w: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Предельно допустимые показатели транспортных средств</w:t>
      </w: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Предельно допустимые  массы транспортных средств</w:t>
      </w:r>
    </w:p>
    <w:p w:rsidR="004A38FD" w:rsidRDefault="004A38FD" w:rsidP="004A38FD">
      <w:pPr>
        <w:pStyle w:val="ConsPlusNonformat"/>
        <w:jc w:val="both"/>
      </w:pPr>
    </w:p>
    <w:tbl>
      <w:tblPr>
        <w:tblW w:w="10274" w:type="dxa"/>
        <w:tblInd w:w="94" w:type="dxa"/>
        <w:tblLook w:val="04A0"/>
      </w:tblPr>
      <w:tblGrid>
        <w:gridCol w:w="7754"/>
        <w:gridCol w:w="2520"/>
      </w:tblGrid>
      <w:tr w:rsidR="004A38FD" w:rsidTr="004A38FD">
        <w:trPr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транспортного средства     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(тонн)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Автомобиль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двухосный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трехосный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четырехосный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Автопоезд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трехосный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четырехосный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4A38FD" w:rsidTr="004A38FD">
        <w:trPr>
          <w:trHeight w:val="375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пятиосный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4A38FD" w:rsidRDefault="004A38FD" w:rsidP="004A38FD">
      <w:pPr>
        <w:pStyle w:val="ConsPlusNonformat"/>
        <w:jc w:val="both"/>
        <w:rPr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Предельно допустимые осевые нагрузки транспортных средств</w:t>
      </w:r>
    </w:p>
    <w:p w:rsidR="004A38FD" w:rsidRDefault="004A38FD" w:rsidP="004A38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89" w:type="dxa"/>
        <w:tblLook w:val="04A0"/>
      </w:tblPr>
      <w:tblGrid>
        <w:gridCol w:w="5599"/>
        <w:gridCol w:w="2520"/>
        <w:gridCol w:w="2160"/>
      </w:tblGrid>
      <w:tr w:rsidR="004A38FD" w:rsidTr="004A38FD">
        <w:trPr>
          <w:trHeight w:val="675"/>
        </w:trPr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Расстояние между сближенными осями (метров)                      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предельно допустимой осевой нагрузки</w:t>
            </w:r>
          </w:p>
        </w:tc>
      </w:tr>
      <w:tr w:rsidR="004A38FD" w:rsidTr="004A38F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кН/тс</w:t>
            </w:r>
            <w:r>
              <w:rPr>
                <w:rStyle w:val="a5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кН/тс</w:t>
            </w:r>
            <w:r>
              <w:rPr>
                <w:rStyle w:val="a5"/>
                <w:color w:val="000000"/>
                <w:sz w:val="28"/>
                <w:szCs w:val="28"/>
              </w:rPr>
              <w:footnoteReference w:id="2"/>
            </w:r>
          </w:p>
        </w:tc>
      </w:tr>
      <w:tr w:rsidR="004A38FD" w:rsidTr="004A38FD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Свыше 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100/10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115/11,5</w:t>
            </w:r>
          </w:p>
        </w:tc>
      </w:tr>
      <w:tr w:rsidR="004A38FD" w:rsidTr="004A38FD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Свыше 1,65 до 2 (включительно)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90/9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105/10,5</w:t>
            </w:r>
          </w:p>
        </w:tc>
      </w:tr>
      <w:tr w:rsidR="004A38FD" w:rsidTr="004A38FD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Свыше 1,35 до 1,65 (включительно)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80/8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90/9</w:t>
            </w:r>
          </w:p>
        </w:tc>
      </w:tr>
      <w:tr w:rsidR="004A38FD" w:rsidTr="004A38FD">
        <w:trPr>
          <w:trHeight w:val="109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Свыше 1,3 до 1,35 (включительно)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70/7                       (75/7,5</w:t>
            </w:r>
            <w:r>
              <w:rPr>
                <w:rStyle w:val="a5"/>
                <w:color w:val="000000"/>
                <w:sz w:val="28"/>
                <w:szCs w:val="28"/>
              </w:rPr>
              <w:footnoteReference w:id="3"/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80/8</w:t>
            </w:r>
          </w:p>
        </w:tc>
      </w:tr>
      <w:tr w:rsidR="004A38FD" w:rsidTr="004A38FD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Свыше 1 до 1,3 (включительно)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70/7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80/8</w:t>
            </w:r>
          </w:p>
        </w:tc>
      </w:tr>
      <w:tr w:rsidR="004A38FD" w:rsidTr="004A38FD">
        <w:trPr>
          <w:trHeight w:val="375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60/6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70/7</w:t>
            </w:r>
          </w:p>
        </w:tc>
      </w:tr>
    </w:tbl>
    <w:p w:rsidR="004A38FD" w:rsidRDefault="004A38FD" w:rsidP="004A38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8FD" w:rsidRDefault="004A38FD" w:rsidP="004A3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Предельно допустимые габариты транспортных средств</w:t>
      </w:r>
    </w:p>
    <w:p w:rsidR="004A38FD" w:rsidRDefault="004A38FD" w:rsidP="004A38FD">
      <w:pPr>
        <w:pStyle w:val="ConsPlusNormal"/>
        <w:widowControl/>
        <w:ind w:firstLine="0"/>
      </w:pPr>
    </w:p>
    <w:tbl>
      <w:tblPr>
        <w:tblW w:w="10274" w:type="dxa"/>
        <w:tblInd w:w="94" w:type="dxa"/>
        <w:tblLook w:val="04A0"/>
      </w:tblPr>
      <w:tblGrid>
        <w:gridCol w:w="7474"/>
        <w:gridCol w:w="2800"/>
      </w:tblGrid>
      <w:tr w:rsidR="004A38FD" w:rsidTr="004A38FD">
        <w:trPr>
          <w:trHeight w:val="375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Длина</w:t>
            </w:r>
          </w:p>
        </w:tc>
      </w:tr>
      <w:tr w:rsidR="004A38FD" w:rsidTr="004A38FD">
        <w:trPr>
          <w:trHeight w:val="375"/>
        </w:trPr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Одиночное транспортное средство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метров"/>
              </w:smartTagPr>
              <w:r>
                <w:rPr>
                  <w:color w:val="000000"/>
                  <w:sz w:val="28"/>
                  <w:szCs w:val="28"/>
                </w:rPr>
                <w:t>12 метров</w:t>
              </w:r>
            </w:smartTag>
          </w:p>
        </w:tc>
      </w:tr>
      <w:tr w:rsidR="004A38FD" w:rsidTr="004A38FD">
        <w:trPr>
          <w:trHeight w:val="375"/>
        </w:trPr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Прицеп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метров"/>
              </w:smartTagPr>
              <w:r>
                <w:rPr>
                  <w:color w:val="000000"/>
                  <w:sz w:val="28"/>
                  <w:szCs w:val="28"/>
                </w:rPr>
                <w:t>12 метров</w:t>
              </w:r>
            </w:smartTag>
          </w:p>
        </w:tc>
      </w:tr>
      <w:tr w:rsidR="004A38FD" w:rsidTr="004A38FD">
        <w:trPr>
          <w:trHeight w:val="375"/>
        </w:trPr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Автопоезд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color w:val="000000"/>
                  <w:sz w:val="28"/>
                  <w:szCs w:val="28"/>
                </w:rPr>
                <w:t>20 метров</w:t>
              </w:r>
            </w:smartTag>
          </w:p>
        </w:tc>
      </w:tr>
      <w:tr w:rsidR="004A38FD" w:rsidTr="004A38FD">
        <w:trPr>
          <w:trHeight w:val="375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Ширина</w:t>
            </w:r>
          </w:p>
        </w:tc>
      </w:tr>
      <w:tr w:rsidR="004A38FD" w:rsidTr="004A38FD">
        <w:trPr>
          <w:trHeight w:val="375"/>
        </w:trPr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 транспортные средства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55 метра"/>
              </w:smartTagPr>
              <w:r>
                <w:rPr>
                  <w:color w:val="000000"/>
                  <w:sz w:val="28"/>
                  <w:szCs w:val="28"/>
                </w:rPr>
                <w:t>2,55 метра</w:t>
              </w:r>
            </w:smartTag>
          </w:p>
        </w:tc>
      </w:tr>
      <w:tr w:rsidR="004A38FD" w:rsidTr="004A38FD">
        <w:trPr>
          <w:trHeight w:val="375"/>
        </w:trPr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Изотермические кузова транспортных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6 метра"/>
              </w:smartTagPr>
              <w:r>
                <w:rPr>
                  <w:color w:val="000000"/>
                  <w:sz w:val="28"/>
                  <w:szCs w:val="28"/>
                </w:rPr>
                <w:t>2,6 метра</w:t>
              </w:r>
            </w:smartTag>
          </w:p>
        </w:tc>
      </w:tr>
      <w:tr w:rsidR="004A38FD" w:rsidTr="004A38FD">
        <w:trPr>
          <w:trHeight w:val="375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Высота</w:t>
            </w:r>
          </w:p>
        </w:tc>
      </w:tr>
      <w:tr w:rsidR="004A38FD" w:rsidTr="004A38FD">
        <w:trPr>
          <w:trHeight w:val="37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транспортные средства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8FD" w:rsidRDefault="004A38FD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метра"/>
              </w:smartTagPr>
              <w:r>
                <w:rPr>
                  <w:color w:val="000000"/>
                  <w:sz w:val="28"/>
                  <w:szCs w:val="28"/>
                </w:rPr>
                <w:t>4 метра</w:t>
              </w:r>
            </w:smartTag>
          </w:p>
        </w:tc>
      </w:tr>
    </w:tbl>
    <w:p w:rsidR="004A38FD" w:rsidRDefault="004A38FD" w:rsidP="004A38FD">
      <w:pPr>
        <w:rPr>
          <w:sz w:val="20"/>
          <w:szCs w:val="20"/>
        </w:rPr>
      </w:pPr>
    </w:p>
    <w:p w:rsidR="004A38FD" w:rsidRDefault="004A38FD" w:rsidP="004A38FD">
      <w:pPr>
        <w:ind w:firstLine="900"/>
        <w:rPr>
          <w:sz w:val="20"/>
          <w:szCs w:val="20"/>
        </w:rPr>
      </w:pPr>
    </w:p>
    <w:p w:rsidR="004A38FD" w:rsidRDefault="004A38FD" w:rsidP="004A38FD">
      <w:pPr>
        <w:ind w:firstLine="900"/>
        <w:rPr>
          <w:sz w:val="20"/>
          <w:szCs w:val="20"/>
        </w:rPr>
      </w:pPr>
      <w:r>
        <w:rPr>
          <w:sz w:val="20"/>
          <w:szCs w:val="20"/>
        </w:rPr>
        <w:t>Предельно допустимые габариты транспортных сре</w:t>
      </w:r>
      <w:proofErr w:type="gramStart"/>
      <w:r>
        <w:rPr>
          <w:sz w:val="20"/>
          <w:szCs w:val="20"/>
        </w:rPr>
        <w:t>дств вкл</w:t>
      </w:r>
      <w:proofErr w:type="gramEnd"/>
      <w:r>
        <w:rPr>
          <w:sz w:val="20"/>
          <w:szCs w:val="20"/>
        </w:rPr>
        <w:t>ючают в себя размеры съемных кузовов и тары для грузов, включая контейнеры.</w:t>
      </w:r>
    </w:p>
    <w:p w:rsidR="004A38FD" w:rsidRDefault="004A38FD" w:rsidP="004A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F4660" w:rsidRDefault="0091457A"/>
    <w:sectPr w:rsidR="00CF4660" w:rsidSect="00C1790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7A" w:rsidRDefault="0091457A" w:rsidP="004A38FD">
      <w:r>
        <w:separator/>
      </w:r>
    </w:p>
  </w:endnote>
  <w:endnote w:type="continuationSeparator" w:id="0">
    <w:p w:rsidR="0091457A" w:rsidRDefault="0091457A" w:rsidP="004A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7A" w:rsidRDefault="0091457A" w:rsidP="004A38FD">
      <w:r>
        <w:separator/>
      </w:r>
    </w:p>
  </w:footnote>
  <w:footnote w:type="continuationSeparator" w:id="0">
    <w:p w:rsidR="0091457A" w:rsidRDefault="0091457A" w:rsidP="004A38FD">
      <w:r>
        <w:continuationSeparator/>
      </w:r>
    </w:p>
  </w:footnote>
  <w:footnote w:id="1">
    <w:p w:rsidR="004A38FD" w:rsidRDefault="004A38FD" w:rsidP="004A38FD">
      <w:pPr>
        <w:ind w:firstLine="72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до 100 кН/10 тс.</w:t>
      </w:r>
    </w:p>
    <w:p w:rsidR="004A38FD" w:rsidRDefault="004A38FD" w:rsidP="004A38FD">
      <w:pPr>
        <w:pStyle w:val="a3"/>
      </w:pPr>
    </w:p>
  </w:footnote>
  <w:footnote w:id="2">
    <w:p w:rsidR="004A38FD" w:rsidRDefault="004A38FD" w:rsidP="004A38FD">
      <w:pPr>
        <w:ind w:firstLine="72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115 кН/11,5 тс.</w:t>
      </w:r>
    </w:p>
    <w:p w:rsidR="004A38FD" w:rsidRDefault="004A38FD" w:rsidP="004A38FD">
      <w:pPr>
        <w:pStyle w:val="a3"/>
      </w:pPr>
    </w:p>
  </w:footnote>
  <w:footnote w:id="3">
    <w:p w:rsidR="004A38FD" w:rsidRDefault="004A38FD" w:rsidP="004A38FD">
      <w:pPr>
        <w:ind w:firstLine="72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Для транспортных средств с односкатными колесами, оборудованных пневматической или эквивалентной ей подвеской, а также транспортных сре</w:t>
      </w:r>
      <w:proofErr w:type="gramStart"/>
      <w:r>
        <w:rPr>
          <w:sz w:val="20"/>
          <w:szCs w:val="20"/>
        </w:rPr>
        <w:t>дств с дв</w:t>
      </w:r>
      <w:proofErr w:type="gramEnd"/>
      <w:r>
        <w:rPr>
          <w:sz w:val="20"/>
          <w:szCs w:val="20"/>
        </w:rPr>
        <w:t>ухскатными колесами".</w:t>
      </w:r>
    </w:p>
    <w:p w:rsidR="004A38FD" w:rsidRDefault="004A38FD" w:rsidP="004A38F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A38FD" w:rsidRDefault="004A38FD" w:rsidP="004A38F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8FD"/>
    <w:rsid w:val="001926A9"/>
    <w:rsid w:val="0026342C"/>
    <w:rsid w:val="00305A09"/>
    <w:rsid w:val="004A38FD"/>
    <w:rsid w:val="0091457A"/>
    <w:rsid w:val="00AF09AF"/>
    <w:rsid w:val="00C17909"/>
    <w:rsid w:val="00D7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A38F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A3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38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A38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4A38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Совет городского округа г. Салават РБ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5</cp:revision>
  <dcterms:created xsi:type="dcterms:W3CDTF">2013-06-28T07:35:00Z</dcterms:created>
  <dcterms:modified xsi:type="dcterms:W3CDTF">2013-06-28T08:16:00Z</dcterms:modified>
</cp:coreProperties>
</file>