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0155D" w:rsidRDefault="00681412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E0155D" w:rsidRDefault="00AA019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от______________2018г.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412">
        <w:rPr>
          <w:rFonts w:ascii="Times New Roman" w:hAnsi="Times New Roman" w:cs="Times New Roman"/>
          <w:sz w:val="28"/>
          <w:szCs w:val="28"/>
        </w:rPr>
        <w:t>№______</w:t>
      </w: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E0155D" w:rsidRDefault="00E0155D">
      <w:pPr>
        <w:spacing w:after="0" w:line="10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0155D" w:rsidRDefault="0068141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5CBC">
        <w:rPr>
          <w:rFonts w:ascii="Times New Roman" w:hAnsi="Times New Roman" w:cs="Times New Roman"/>
          <w:b/>
          <w:sz w:val="28"/>
          <w:szCs w:val="28"/>
        </w:rPr>
        <w:t xml:space="preserve">Положение о размещении объектов капитального строительства, технико-экономические показатели, характеристики планируемого развития </w:t>
      </w:r>
      <w:r w:rsidR="00CB420E" w:rsidRPr="00655CBC">
        <w:rPr>
          <w:rFonts w:ascii="Times New Roman" w:hAnsi="Times New Roman" w:cs="Times New Roman"/>
          <w:b/>
          <w:sz w:val="28"/>
          <w:szCs w:val="28"/>
        </w:rPr>
        <w:t>территории кв</w:t>
      </w:r>
      <w:r w:rsidR="00AA0191">
        <w:rPr>
          <w:rFonts w:ascii="Times New Roman" w:hAnsi="Times New Roman" w:cs="Times New Roman"/>
          <w:b/>
          <w:sz w:val="28"/>
          <w:szCs w:val="28"/>
        </w:rPr>
        <w:t>артала № 49 городского округа город</w:t>
      </w:r>
      <w:r w:rsidR="00CB420E" w:rsidRPr="00655CBC">
        <w:rPr>
          <w:rFonts w:ascii="Times New Roman" w:hAnsi="Times New Roman" w:cs="Times New Roman"/>
          <w:b/>
          <w:sz w:val="28"/>
          <w:szCs w:val="28"/>
        </w:rPr>
        <w:t xml:space="preserve"> Салават Республики Башкортостан в районе торгового комплекса «Гостиный двор» по улице Ленина</w:t>
      </w:r>
    </w:p>
    <w:p w:rsidR="00E0155D" w:rsidRDefault="00E0155D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пояснительная записка</w:t>
      </w:r>
    </w:p>
    <w:p w:rsidR="00E0155D" w:rsidRDefault="00E0155D">
      <w:pPr>
        <w:spacing w:after="0" w:line="10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0155D" w:rsidRDefault="0068141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Положение проектируемого района в плане города. Современное использование территории</w:t>
      </w:r>
    </w:p>
    <w:p w:rsidR="00E0155D" w:rsidRDefault="00E0155D">
      <w:pPr>
        <w:pStyle w:val="af2"/>
        <w:spacing w:after="0"/>
        <w:jc w:val="center"/>
        <w:rPr>
          <w:sz w:val="28"/>
          <w:szCs w:val="28"/>
        </w:rPr>
      </w:pPr>
    </w:p>
    <w:p w:rsidR="00E0155D" w:rsidRDefault="00681412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E0155D" w:rsidRDefault="00E0155D">
      <w:pPr>
        <w:pStyle w:val="af2"/>
        <w:spacing w:after="0"/>
        <w:rPr>
          <w:sz w:val="28"/>
          <w:szCs w:val="28"/>
        </w:rPr>
      </w:pPr>
    </w:p>
    <w:p w:rsidR="00CB420E" w:rsidRPr="00CB420E" w:rsidRDefault="00CB420E" w:rsidP="00CB420E">
      <w:pPr>
        <w:pStyle w:val="Standard"/>
        <w:ind w:right="-86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Проектируемый район расположен на пересечении улицы Ленина и бул. Космонавтов в квартале №49 городского округа город Салават Республики Башкортостан и представляет собой обособленную часть квартала 49 (выделена в отдельную территориальную зону ОД-1). </w:t>
      </w:r>
    </w:p>
    <w:p w:rsidR="00E0155D" w:rsidRDefault="00E0155D">
      <w:pPr>
        <w:pStyle w:val="af2"/>
        <w:spacing w:after="0"/>
        <w:rPr>
          <w:sz w:val="28"/>
          <w:szCs w:val="28"/>
        </w:rPr>
      </w:pPr>
    </w:p>
    <w:p w:rsidR="00E0155D" w:rsidRDefault="00681412" w:rsidP="00906B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Природные условия</w:t>
      </w:r>
    </w:p>
    <w:p w:rsidR="00E0155D" w:rsidRDefault="00681412" w:rsidP="00AA0191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1.2.1</w:t>
      </w:r>
      <w:r w:rsidR="00AA019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Климат</w:t>
      </w:r>
    </w:p>
    <w:p w:rsidR="00CB420E" w:rsidRPr="00CB420E" w:rsidRDefault="00CB420E">
      <w:pPr>
        <w:pStyle w:val="af2"/>
        <w:spacing w:after="0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906B42">
      <w:pPr>
        <w:tabs>
          <w:tab w:val="left" w:pos="8280"/>
        </w:tabs>
        <w:spacing w:after="0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 строительства</w:t>
      </w:r>
    </w:p>
    <w:p w:rsidR="00CB420E" w:rsidRPr="00CB420E" w:rsidRDefault="00CB420E" w:rsidP="00906B42">
      <w:pPr>
        <w:tabs>
          <w:tab w:val="left" w:pos="8280"/>
        </w:tabs>
        <w:spacing w:after="0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климатический подрайон строительства-1В</w:t>
      </w:r>
    </w:p>
    <w:p w:rsidR="00CB420E" w:rsidRPr="00CB420E" w:rsidRDefault="00CB420E" w:rsidP="00906B42">
      <w:pPr>
        <w:tabs>
          <w:tab w:val="left" w:pos="8280"/>
        </w:tabs>
        <w:spacing w:after="0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расчетная температура наружного воздуха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20E" w:rsidRPr="00CB420E" w:rsidRDefault="00906B42" w:rsidP="00906B42">
      <w:pPr>
        <w:tabs>
          <w:tab w:val="left" w:pos="8280"/>
        </w:tabs>
        <w:suppressAutoHyphens w:val="0"/>
        <w:spacing w:after="0" w:line="240" w:lineRule="auto"/>
        <w:ind w:left="851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холодных суток -40</w:t>
      </w:r>
      <w:r w:rsidR="00CB420E"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420E" w:rsidRPr="00CB420E" w:rsidRDefault="00906B42" w:rsidP="00906B42">
      <w:pPr>
        <w:tabs>
          <w:tab w:val="left" w:pos="8280"/>
        </w:tabs>
        <w:suppressAutoHyphens w:val="0"/>
        <w:spacing w:after="0" w:line="240" w:lineRule="auto"/>
        <w:ind w:left="851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холодной пятидневки -32</w:t>
      </w:r>
      <w:r w:rsidR="00CB420E"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420E" w:rsidRPr="00CB420E" w:rsidRDefault="00CB420E" w:rsidP="00906B42">
      <w:pPr>
        <w:tabs>
          <w:tab w:val="left" w:pos="8280"/>
        </w:tabs>
        <w:spacing w:after="0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снегового покрова для V района=320кг/м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B420E" w:rsidRPr="00CB420E" w:rsidRDefault="00CB420E" w:rsidP="00906B42">
      <w:pPr>
        <w:tabs>
          <w:tab w:val="left" w:pos="8280"/>
        </w:tabs>
        <w:spacing w:after="0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6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 напор ветра=38кг/м</w:t>
      </w:r>
      <w:r w:rsidRPr="00142E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CB420E" w:rsidRPr="00CB420E" w:rsidRDefault="00CB420E" w:rsidP="00906B42">
      <w:pPr>
        <w:pStyle w:val="af2"/>
        <w:spacing w:after="0"/>
        <w:ind w:firstLine="851"/>
        <w:jc w:val="both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906B42">
      <w:pPr>
        <w:tabs>
          <w:tab w:val="left" w:pos="8280"/>
        </w:tabs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климатическим условиям территория относится к умеренной зоне с атлантико-континентальным климатом с относительно теплым летом и продолжительной умеренно холодной зимой. </w:t>
      </w:r>
    </w:p>
    <w:p w:rsidR="00CB420E" w:rsidRPr="00CB420E" w:rsidRDefault="00CB420E" w:rsidP="00906B42">
      <w:pPr>
        <w:tabs>
          <w:tab w:val="left" w:pos="8280"/>
        </w:tabs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годовая температура воздуха составляет 3,3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Наиболее холодным месяцем является январь со средней температурой минус 14,5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абсолютным минимумом минус 43.0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Средняя месячная темпер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атура самого теплого месяца июля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19.7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 абсолютным максимумом 38.0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Переход среднесуточных температур воздуха через 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в среднем: весной – 5 апреля, осенью – 24 октября.</w:t>
      </w:r>
    </w:p>
    <w:p w:rsidR="00CB420E" w:rsidRPr="00CB420E" w:rsidRDefault="00CB420E" w:rsidP="00906B42">
      <w:pPr>
        <w:tabs>
          <w:tab w:val="left" w:pos="8280"/>
        </w:tabs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Температурный режим почвы в целом повторяет годовой ход температуры воздуха.</w:t>
      </w:r>
    </w:p>
    <w:p w:rsidR="00CB420E" w:rsidRPr="00CB420E" w:rsidRDefault="00CB420E" w:rsidP="00906B42">
      <w:pPr>
        <w:tabs>
          <w:tab w:val="left" w:pos="8280"/>
        </w:tabs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Нормативная глубина сезонного промерзания грунтов для глинистых грунтов составляет 1.61м. </w:t>
      </w:r>
    </w:p>
    <w:p w:rsidR="00CB420E" w:rsidRPr="00CB420E" w:rsidRDefault="00CB420E" w:rsidP="00906B42">
      <w:pPr>
        <w:tabs>
          <w:tab w:val="left" w:pos="8280"/>
        </w:tabs>
        <w:spacing w:after="0" w:line="240" w:lineRule="auto"/>
        <w:ind w:right="-8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Ветровой режим приземного слоя в районе работ характеризуется преобладанием в зимние месяцы южных ветров, 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преобладают западные ветра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Средняя годовая скорость ветра равна 3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 м/с, преобладают слабые ветра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Максимальная скорость ветра </w:t>
      </w:r>
      <w:proofErr w:type="gramStart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изменяется  довольно</w:t>
      </w:r>
      <w:proofErr w:type="gramEnd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широких пределах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55D" w:rsidRDefault="00CB420E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CB420E">
        <w:rPr>
          <w:color w:val="000000"/>
          <w:sz w:val="28"/>
          <w:szCs w:val="28"/>
        </w:rPr>
        <w:t xml:space="preserve">Основным источником влаги являются атмосферные осадки. Согласно схематической карте зон влажности участок изысканий находится в умеренно сухой зоне – II-ой. Относительная влажность воздуха в теплый период составляет 68%, в холодный – 84%, </w:t>
      </w:r>
      <w:proofErr w:type="gramStart"/>
      <w:r w:rsidRPr="00CB420E">
        <w:rPr>
          <w:color w:val="000000"/>
          <w:sz w:val="28"/>
          <w:szCs w:val="28"/>
        </w:rPr>
        <w:t>в  среднем</w:t>
      </w:r>
      <w:proofErr w:type="gramEnd"/>
      <w:r w:rsidRPr="00CB420E">
        <w:rPr>
          <w:color w:val="000000"/>
          <w:sz w:val="28"/>
          <w:szCs w:val="28"/>
        </w:rPr>
        <w:t xml:space="preserve"> за год составляет 76%. Среднее многолетнее годовое количество осадков составляет </w:t>
      </w:r>
      <w:smartTag w:uri="urn:schemas-microsoft-com:office:smarttags" w:element="metricconverter">
        <w:smartTagPr>
          <w:attr w:name="ProductID" w:val="463 мм"/>
        </w:smartTagPr>
        <w:r w:rsidRPr="00CB420E">
          <w:rPr>
            <w:color w:val="000000"/>
            <w:sz w:val="28"/>
            <w:szCs w:val="28"/>
          </w:rPr>
          <w:t>463 мм</w:t>
        </w:r>
      </w:smartTag>
      <w:r w:rsidRPr="00CB420E">
        <w:rPr>
          <w:color w:val="000000"/>
          <w:sz w:val="28"/>
          <w:szCs w:val="28"/>
        </w:rPr>
        <w:t xml:space="preserve">, из них за теплый период года апрель-октябрь выпадает </w:t>
      </w:r>
      <w:smartTag w:uri="urn:schemas-microsoft-com:office:smarttags" w:element="metricconverter">
        <w:smartTagPr>
          <w:attr w:name="ProductID" w:val="323 мм"/>
        </w:smartTagPr>
        <w:r w:rsidRPr="00CB420E">
          <w:rPr>
            <w:color w:val="000000"/>
            <w:sz w:val="28"/>
            <w:szCs w:val="28"/>
          </w:rPr>
          <w:t>323 мм</w:t>
        </w:r>
      </w:smartTag>
      <w:r w:rsidRPr="00CB420E">
        <w:rPr>
          <w:color w:val="000000"/>
          <w:sz w:val="28"/>
          <w:szCs w:val="28"/>
        </w:rPr>
        <w:t xml:space="preserve">, ноябрь-март – </w:t>
      </w:r>
      <w:smartTag w:uri="urn:schemas-microsoft-com:office:smarttags" w:element="metricconverter">
        <w:smartTagPr>
          <w:attr w:name="ProductID" w:val="140 мм"/>
        </w:smartTagPr>
        <w:r w:rsidRPr="00CB420E">
          <w:rPr>
            <w:color w:val="000000"/>
            <w:sz w:val="28"/>
            <w:szCs w:val="28"/>
          </w:rPr>
          <w:t>140 мм</w:t>
        </w:r>
      </w:smartTag>
      <w:r w:rsidRPr="00CB420E">
        <w:rPr>
          <w:color w:val="000000"/>
          <w:sz w:val="28"/>
          <w:szCs w:val="28"/>
        </w:rPr>
        <w:t>.</w:t>
      </w:r>
    </w:p>
    <w:p w:rsidR="00CB420E" w:rsidRDefault="00CB420E" w:rsidP="00906B42">
      <w:pPr>
        <w:pStyle w:val="af2"/>
        <w:spacing w:before="0" w:after="0"/>
        <w:rPr>
          <w:sz w:val="28"/>
          <w:szCs w:val="28"/>
        </w:rPr>
      </w:pPr>
    </w:p>
    <w:p w:rsidR="00E0155D" w:rsidRDefault="00681412" w:rsidP="00906B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1.2.2</w:t>
      </w:r>
      <w:r w:rsidR="00AA0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Инженерно-геологическое районирование</w:t>
      </w:r>
    </w:p>
    <w:p w:rsidR="00CB420E" w:rsidRPr="00CB420E" w:rsidRDefault="00CB420E" w:rsidP="00906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геоморфологическом отношении территория расположена на II-й левобережной надпойменной террасе р. Белой. Поверхность площадки ровная, не требует дополнительной планировки. Абсолютные отметки поверхности изменяются от 150,930 до 151,63м БС.</w:t>
      </w:r>
    </w:p>
    <w:p w:rsidR="00CB420E" w:rsidRPr="00CB420E" w:rsidRDefault="00CB420E" w:rsidP="00906B42">
      <w:pPr>
        <w:pStyle w:val="a9"/>
        <w:spacing w:after="0" w:line="24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CB420E">
        <w:rPr>
          <w:color w:val="000000"/>
          <w:sz w:val="28"/>
          <w:szCs w:val="28"/>
          <w:lang w:eastAsia="ru-RU"/>
        </w:rPr>
        <w:t>Проявлений опасных физико-геологических процессов (провалы, карстово-суффозионные воронки, оползни и т.д.), способных отрицательно повлиять на устойчивость проектируемого здания, на участке изысканий и вблизи него не обнаружено.</w:t>
      </w:r>
    </w:p>
    <w:p w:rsidR="00CB420E" w:rsidRPr="00CB420E" w:rsidRDefault="00CB420E" w:rsidP="0090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3.2 ТСН 302-50-95. РБ участок изысканий по степе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 устойчивости к 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карстопроявлениям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устойчивому (VI категория), 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провалообразования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исключаются.</w:t>
      </w:r>
    </w:p>
    <w:p w:rsidR="00CB420E" w:rsidRPr="00CB420E" w:rsidRDefault="00CB420E" w:rsidP="00906B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результатам инженерно-геологических изысканий грунты основания имеют следующий состав: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н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асыпной слой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tQIV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представлен глиной твердой и полутвердой </w:t>
      </w:r>
      <w:proofErr w:type="gram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консистенции,  коричнево</w:t>
      </w:r>
      <w:proofErr w:type="gram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перемешанной с почвой с включениями гравия и песка до 20 %. Сверху перекрыт слоем асфальта и тротуарной 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плиткой мощностью 0,05-0,12 м. Мощность насыпного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слоя колеблется от 2,2 до 2,3 м;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с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углинок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аQIII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полутвердой консистенции, коричневый, серо-коричневый, с прослоями и линзами песка пылеватого, с единичными включениями гравия.  Вскрыт под насыпным слоем, распространен повсеместно в верхней 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разреза до глубин 5,5-6,0 м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образуя слой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мощностью 3,2-3,8 м;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с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углинок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аQIII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мягкопластичной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прослоями 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тугопластичной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консистенции, серо-коричневый, песчанистый. Залегает в средней части разреза, вскрыт всеми скважинами на глубине 5,5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-6,0 м. Мощность слоя 3,3-4,0 м;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г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равийный грунт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аQII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полимиктовый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серо-коричневый, с песчанистым заполнителем, 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водонасыщенный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Залегает в нижней части разреза, вскрыт всеми скважинами на глубине 9,3-9,5 м.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скрытая мощность слоя 2,5-2,7 м;</w:t>
      </w:r>
    </w:p>
    <w:p w:rsidR="00CB420E" w:rsidRPr="00CB420E" w:rsidRDefault="00CB420E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ИГЭ-1 - суглинок полутвердый с характеристиками: γ=1,974 г/см³, φ=22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°, Е=25 МПа; мощностью 3,2÷3,8м;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ИГЭ-2 - с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углинок 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мягкопластичный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aQIII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характеристиками: γ=1,964 г/см³, φ=17°, Е=13 МПа. Слой распространен повсеместно в верхней части разреза до глубин 5,5-6,0 м.,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бразуя слой мощностью 3,3-4,0 м;</w:t>
      </w:r>
    </w:p>
    <w:p w:rsidR="00CB420E" w:rsidRPr="00CB420E" w:rsidRDefault="00AA0191" w:rsidP="00906B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ИГЭ-3 - г</w:t>
      </w:r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равийный грунт (</w:t>
      </w:r>
      <w:proofErr w:type="spellStart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aQII</w:t>
      </w:r>
      <w:proofErr w:type="spellEnd"/>
      <w:r w:rsidR="00CB420E"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расчетным сопротивлением грунтов 0,5МПа. Слой залегает с глубины 9,3-9,5 м, образуя слой мощностью 2,5-2,7 м.</w:t>
      </w:r>
    </w:p>
    <w:p w:rsidR="00E0155D" w:rsidRPr="00CB420E" w:rsidRDefault="00CB420E" w:rsidP="00906B42">
      <w:pPr>
        <w:pStyle w:val="Textbody"/>
        <w:spacing w:after="0"/>
        <w:ind w:firstLine="851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B42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Уровень подземных вод</w:t>
      </w:r>
      <w:r w:rsidR="00AA01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залегает на глубинах 6,0-7,0 м</w:t>
      </w:r>
      <w:r w:rsidRPr="00CB42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соответствует абс</w:t>
      </w:r>
      <w:r w:rsidR="00AA01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олютным отметкам 144,25-145,3 м</w:t>
      </w:r>
      <w:r w:rsidRPr="00CB420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БС.</w:t>
      </w:r>
    </w:p>
    <w:p w:rsidR="00E0155D" w:rsidRDefault="00681412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AA019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Зоны с особыми условиями использования территории</w:t>
      </w:r>
    </w:p>
    <w:p w:rsidR="00E0155D" w:rsidRDefault="00E0155D" w:rsidP="00906B42">
      <w:pPr>
        <w:pStyle w:val="af2"/>
        <w:spacing w:before="0" w:after="0"/>
        <w:rPr>
          <w:sz w:val="28"/>
          <w:szCs w:val="28"/>
        </w:rPr>
      </w:pP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Планировочными ограничениями в пределах границ проектирования в настоящее время являются: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-охранные зоны инженерных коммуникаций;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-охранная 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зона трансформаторных подстанций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-санитарно-защитная зона от существующего  здания общественного назначения;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-охранная зона ГРПШ;</w:t>
      </w:r>
    </w:p>
    <w:p w:rsidR="00E0155D" w:rsidRPr="00906B42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-существующий проезд между ТК «Гостиный двор» и ТЦ «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Шатлык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E0155D" w:rsidRDefault="00681412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="00AA019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Современное использование территории</w:t>
      </w:r>
    </w:p>
    <w:p w:rsidR="00906B42" w:rsidRPr="00906B42" w:rsidRDefault="00906B42" w:rsidP="00906B42">
      <w:pPr>
        <w:pStyle w:val="af2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CB420E" w:rsidRPr="00CB420E" w:rsidRDefault="00CB420E" w:rsidP="00906B42">
      <w:pPr>
        <w:pStyle w:val="af3"/>
        <w:spacing w:line="240" w:lineRule="auto"/>
        <w:ind w:firstLine="851"/>
        <w:rPr>
          <w:bCs w:val="0"/>
          <w:color w:val="000000"/>
          <w:sz w:val="28"/>
        </w:rPr>
      </w:pPr>
      <w:r w:rsidRPr="00CB420E">
        <w:rPr>
          <w:bCs w:val="0"/>
          <w:color w:val="000000"/>
          <w:sz w:val="28"/>
        </w:rPr>
        <w:t>Территорию прое</w:t>
      </w:r>
      <w:r w:rsidR="00AA0191">
        <w:rPr>
          <w:bCs w:val="0"/>
          <w:color w:val="000000"/>
          <w:sz w:val="28"/>
        </w:rPr>
        <w:t>ктирования образует обособленная</w:t>
      </w:r>
      <w:r w:rsidRPr="00CB420E">
        <w:rPr>
          <w:bCs w:val="0"/>
          <w:color w:val="000000"/>
          <w:sz w:val="28"/>
        </w:rPr>
        <w:t xml:space="preserve"> часть квартала 2:59:</w:t>
      </w:r>
      <w:r w:rsidR="00142EB1">
        <w:rPr>
          <w:bCs w:val="0"/>
          <w:color w:val="000000"/>
          <w:sz w:val="28"/>
        </w:rPr>
        <w:t>070305</w:t>
      </w:r>
      <w:r w:rsidRPr="00CB420E">
        <w:rPr>
          <w:bCs w:val="0"/>
          <w:color w:val="000000"/>
          <w:sz w:val="28"/>
        </w:rPr>
        <w:t>.</w:t>
      </w:r>
    </w:p>
    <w:p w:rsidR="00CB420E" w:rsidRPr="00CB420E" w:rsidRDefault="00CB420E" w:rsidP="00906B42">
      <w:pPr>
        <w:pStyle w:val="af3"/>
        <w:spacing w:line="240" w:lineRule="auto"/>
        <w:ind w:firstLine="851"/>
        <w:rPr>
          <w:bCs w:val="0"/>
          <w:color w:val="000000"/>
          <w:sz w:val="28"/>
        </w:rPr>
      </w:pPr>
      <w:r w:rsidRPr="00CB420E">
        <w:rPr>
          <w:bCs w:val="0"/>
          <w:color w:val="000000"/>
          <w:sz w:val="28"/>
        </w:rPr>
        <w:t>Территория благоустроена и озеленена, обеспечена инженерными коммуникациями, имеющими износ.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настоящее в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ремя на территории, для которой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разрабатывается настоящий проект планировки и межевания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располагаются: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-двухэтажное здание торгового комплекса «Гостиный двор»;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-открытая автостоянка для посетителей ТК «Гостиный двор»;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-одноэтажное нежилое здание (магазин);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-некапитальные металлические строения (киоски);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-трансформаторная подстанция (для обслуживания ТК «Гостиный двор»);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-подземные инженерные коммуникации (хоз.-бытовая канализация, газопровод, кабели электроснабжения, сети связи, водопровод);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-площадка для контейнеров ТБО.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Существующее здание торгового комплекса «Гостиный двор» представляет собой двухэтажное здание сложной формы в плане (габаритные размеры по крайним осям 66х54м) с выступающей входной группой с западной стороны.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Трансформаторная подстанция расположена с восточной стороны существующего здания ТК «Гостиный двор».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Основное количество парковочных мест для посетителей ТК «Гостиный двор» расположены с восточной стороны торгового комплекса.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этом на прилегающих к планируемой территории улице Ленина, бул. Космонавтов, внутриквартальном проезде выполнены уширения (карманы) проезжей части с возможностью парковки.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северной стороны планируемая территория граничит с бул. Космонавтов с односторонним движением.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западной стороны от планируемой территории проходит ул. Ленина с многополосной автомобильной дорогой.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Ул. Ленина и бул. Космонавтов – одни из центральных улиц города, имеющие в районе проектирования широкие аллеи с пешеходными тротуарами.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южной стороны от планируемой территории расположен проезд в жилую застройку, существующее одноэтажное здание торгового центра «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Шатлык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восточной стороны планируемая территория граничит с жилой застройкой.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Остановки общественного транспорта расположены в непосредственной близости от территории ТК «Гостиный двор» по бул. Космонавтов и ул. Ленина.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Въезд на планир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уемую территорию возможен по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бул. 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Космонавтов и внутриквартальному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прое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зду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между существующим здание ТК «Гостиный двор» и ТЦ «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Шатлык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CB420E" w:rsidRPr="00CB420E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ствии с п.1 ст.31 Федерального з</w:t>
      </w: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E0155D" w:rsidRPr="00142EB1" w:rsidRDefault="00CB420E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реестром памятники истории, культуры, археологии на рассматр</w:t>
      </w:r>
      <w:r w:rsidR="00142E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иваемой территории отсутствуют.</w:t>
      </w:r>
    </w:p>
    <w:p w:rsidR="00E0155D" w:rsidRPr="00142EB1" w:rsidRDefault="00681412" w:rsidP="00142EB1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II. Проектные решения</w:t>
      </w:r>
    </w:p>
    <w:p w:rsidR="00E0155D" w:rsidRDefault="00681412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2.1.Архитектурно-планировочные решения</w:t>
      </w:r>
    </w:p>
    <w:p w:rsidR="00E0155D" w:rsidRPr="00CB420E" w:rsidRDefault="00E0155D">
      <w:pPr>
        <w:pStyle w:val="af2"/>
        <w:spacing w:after="0"/>
        <w:rPr>
          <w:color w:val="000000"/>
          <w:sz w:val="28"/>
          <w:szCs w:val="28"/>
        </w:rPr>
      </w:pPr>
    </w:p>
    <w:p w:rsidR="00CB420E" w:rsidRPr="00CB420E" w:rsidRDefault="00CB420E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CB420E">
        <w:rPr>
          <w:color w:val="000000"/>
          <w:sz w:val="28"/>
          <w:szCs w:val="28"/>
        </w:rPr>
        <w:t>Основные архитектурно - планировочные решения связаны с приведением территории в соответствие с изменениями, предусмотренными техническим заданием на разработку проекта планировки и межевания территории.</w:t>
      </w:r>
    </w:p>
    <w:p w:rsidR="00CB420E" w:rsidRPr="00142EB1" w:rsidRDefault="00681412" w:rsidP="00906B42">
      <w:pPr>
        <w:pStyle w:val="af2"/>
        <w:spacing w:after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Функциональное зонирование не противоречит проекту «Внесение изменений в генеральный план городского округа город Салават».</w:t>
      </w:r>
      <w:r>
        <w:rPr>
          <w:sz w:val="28"/>
          <w:szCs w:val="28"/>
        </w:rPr>
        <w:t xml:space="preserve"> </w:t>
      </w:r>
    </w:p>
    <w:p w:rsidR="00CB420E" w:rsidRDefault="002C2D68" w:rsidP="00906B42">
      <w:pPr>
        <w:pStyle w:val="af3"/>
        <w:spacing w:line="240" w:lineRule="auto"/>
        <w:ind w:firstLine="851"/>
        <w:rPr>
          <w:bCs w:val="0"/>
          <w:color w:val="000000"/>
          <w:sz w:val="28"/>
        </w:rPr>
      </w:pPr>
      <w:r>
        <w:rPr>
          <w:bCs w:val="0"/>
          <w:color w:val="000000"/>
          <w:sz w:val="28"/>
        </w:rPr>
        <w:t xml:space="preserve">Проектными решениями предусмотрено устройство двухэтажного </w:t>
      </w:r>
      <w:proofErr w:type="spellStart"/>
      <w:r>
        <w:rPr>
          <w:bCs w:val="0"/>
          <w:color w:val="000000"/>
          <w:sz w:val="28"/>
        </w:rPr>
        <w:t>пристроя</w:t>
      </w:r>
      <w:proofErr w:type="spellEnd"/>
      <w:r w:rsidR="00CB420E" w:rsidRPr="00CB420E">
        <w:rPr>
          <w:bCs w:val="0"/>
          <w:color w:val="000000"/>
          <w:sz w:val="28"/>
        </w:rPr>
        <w:t xml:space="preserve"> к существующему зданию ТК «Гостиный двор». </w:t>
      </w:r>
    </w:p>
    <w:p w:rsidR="00CB420E" w:rsidRPr="00CB420E" w:rsidRDefault="00CB420E" w:rsidP="00906B42">
      <w:pPr>
        <w:pStyle w:val="af3"/>
        <w:spacing w:line="240" w:lineRule="auto"/>
        <w:ind w:firstLine="851"/>
        <w:rPr>
          <w:bCs w:val="0"/>
          <w:color w:val="000000"/>
          <w:sz w:val="28"/>
        </w:rPr>
      </w:pPr>
    </w:p>
    <w:p w:rsidR="00CB420E" w:rsidRPr="00CB420E" w:rsidRDefault="00CB420E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устройстве </w:t>
      </w:r>
      <w:proofErr w:type="spellStart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пристроя</w:t>
      </w:r>
      <w:proofErr w:type="spellEnd"/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су</w:t>
      </w:r>
      <w:r w:rsid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ществующему зданию предусмотрен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420E" w:rsidRPr="00CB420E" w:rsidRDefault="00CB420E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-демонтаж существующего одноэтажного нежилого здания (магазин) и не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капитальных металлических зданий (киосков</w:t>
      </w: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расположенных с южной стороны здания ТК «Гостиный двор»;</w:t>
      </w:r>
    </w:p>
    <w:p w:rsidR="00CB420E" w:rsidRDefault="00CB420E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-корректировка зоны парковки для посетителей торгового комплекса.</w:t>
      </w:r>
    </w:p>
    <w:p w:rsidR="002C2D68" w:rsidRDefault="002C2D68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55D" w:rsidRDefault="002C2D68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Озеленение планируемой территории предусмотрено за счет устройства газонов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георешеток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части парковочных мест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экопарковка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275D" w:rsidRDefault="007F275D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5D" w:rsidRPr="00610768" w:rsidRDefault="007F275D" w:rsidP="00906B4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разработки проекта внесения изменений в проект планировки является оптимизация землепользования и исключения</w:t>
      </w:r>
      <w:r w:rsidR="00AA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эффективного использования земель. </w:t>
      </w:r>
    </w:p>
    <w:p w:rsidR="00E0155D" w:rsidRDefault="002C2D68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681412">
        <w:rPr>
          <w:b/>
          <w:bCs/>
          <w:color w:val="000000"/>
          <w:sz w:val="28"/>
          <w:szCs w:val="28"/>
        </w:rPr>
        <w:t>.Памятники археологии, истории и культуры</w:t>
      </w:r>
    </w:p>
    <w:p w:rsidR="00E0155D" w:rsidRDefault="00E0155D">
      <w:pPr>
        <w:pStyle w:val="af2"/>
        <w:spacing w:after="0"/>
        <w:rPr>
          <w:sz w:val="28"/>
          <w:szCs w:val="28"/>
        </w:rPr>
      </w:pP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ствии с п.1 ст.31 Федерального з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акона 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 25.06.2002</w:t>
      </w:r>
      <w:r w:rsidR="00AA0191"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№73-ФЗ</w:t>
      </w:r>
      <w:r w:rsidR="00AA0191"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«Об объектах культурного наследия (памятниках истории и культуры) народов Российской Федерации»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E0155D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реестром памятники истории, культуры, археологии на рассматриваемой территории отсутствуют.</w:t>
      </w:r>
    </w:p>
    <w:p w:rsidR="00610768" w:rsidRPr="002C2D68" w:rsidRDefault="00610768" w:rsidP="002C2D68">
      <w:pPr>
        <w:pStyle w:val="Standard"/>
        <w:ind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E0155D" w:rsidRPr="002C2D68" w:rsidRDefault="002C2D68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681412">
        <w:rPr>
          <w:b/>
          <w:bCs/>
          <w:color w:val="000000"/>
          <w:sz w:val="28"/>
          <w:szCs w:val="28"/>
        </w:rPr>
        <w:t>. Формирование среды жизнедеятельности инвалидов</w:t>
      </w:r>
    </w:p>
    <w:p w:rsidR="002C2D68" w:rsidRDefault="002C2D68" w:rsidP="002C2D68">
      <w:pPr>
        <w:pStyle w:val="Standard"/>
        <w:ind w:firstLine="426"/>
        <w:rPr>
          <w:rFonts w:ascii="ISOCPEUR" w:eastAsia="PMingLiU" w:hAnsi="ISOCPEUR" w:cs="Times New Roman"/>
          <w:i/>
          <w:kern w:val="0"/>
          <w:sz w:val="28"/>
          <w:szCs w:val="28"/>
          <w:lang w:eastAsia="ru-RU"/>
        </w:rPr>
      </w:pP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Основным принципом формирования среды жизнедеятельности маломобильных групп населения является создание условий для обеспечения 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физической, пространственной и информационной доступности объектов и комплексов различного назначения, а также обеспечение безопасности и комфортности городской среды.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обеспечения безопасности и доступности по всем видам обслуживания маломобильных групп населения необходимо предусмотреть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оборудование входов в здания пандусами, специальными входными дверями и тамбурами;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-при формировании участков общественных комплексов необходимо предусмотреть разделение пешеходных и транспортных потоков,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непрерывность пешеходных путей;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 зоне стоянок личного автотранспорта следует выделять места для парковки автотранспортных средств инвалидов и маломобильных групп населения.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проектировании зданий, сооружений и элементов благоустройства на следующих стадиях необходимо руководствоваться положениями СП 59.13330.20122 «Доступность зданий и сооружений для маломобильных групп населения» и СП 140.13330.2012 « Городская среда. Правила проектирования для маломобильных групп населения».</w:t>
      </w:r>
    </w:p>
    <w:p w:rsid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Строительство и реконструкцию проездов выполнять с необходимыми элементами для маломобильных групп населения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пандусами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A01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понижением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бордюрного камня в местах пересечений тротуаров и проезжих частей улиц, устройство</w:t>
      </w:r>
      <w:r w:rsidR="00D12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беспрепятствен</w:t>
      </w:r>
      <w:r w:rsidR="006107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ных пешеходных путей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специальных автостоянок возле общественных зданий.</w:t>
      </w:r>
    </w:p>
    <w:p w:rsidR="002C2D68" w:rsidRDefault="002C2D68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</w:t>
      </w:r>
      <w:r w:rsidR="00681412">
        <w:rPr>
          <w:b/>
          <w:bCs/>
          <w:color w:val="000000"/>
          <w:sz w:val="28"/>
          <w:szCs w:val="28"/>
        </w:rPr>
        <w:t>. Благоустройство и озеленение территории</w:t>
      </w:r>
    </w:p>
    <w:p w:rsidR="00906B42" w:rsidRPr="002C2D68" w:rsidRDefault="00906B42" w:rsidP="00906B42">
      <w:pPr>
        <w:pStyle w:val="af2"/>
        <w:spacing w:before="0"/>
        <w:jc w:val="center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Система озеленения в границах проекта планировки является составной частью единого озелененного пространства города и тесно связана с планировочной структурой района.</w:t>
      </w:r>
    </w:p>
    <w:p w:rsidR="002C2D68" w:rsidRPr="002C2D68" w:rsidRDefault="004F4CCC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систему озеленения входят</w:t>
      </w:r>
      <w:r w:rsidR="002C2D68" w:rsidRPr="002C2D68">
        <w:rPr>
          <w:color w:val="000000"/>
          <w:sz w:val="28"/>
          <w:szCs w:val="28"/>
        </w:rPr>
        <w:t xml:space="preserve"> озеленение улиц, территорий общественных предприятий.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К работам по благоустройству территории относятся: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строительство улиц и дорог по нормативным параметрам, соответствующим данной категории, а именно: соблюдение продольных уклонов проезжих частей улиц, возведение твердых покрытий тротуаров соответствующей ширины;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 строительство открытых автостоянок;</w:t>
      </w:r>
    </w:p>
    <w:p w:rsidR="002C2D68" w:rsidRPr="002C2D68" w:rsidRDefault="002C2D68" w:rsidP="00D129A5">
      <w:pPr>
        <w:pStyle w:val="af2"/>
        <w:tabs>
          <w:tab w:val="left" w:pos="709"/>
          <w:tab w:val="left" w:pos="851"/>
        </w:tabs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благоустройство объектов обслуживания в соответствии с требованиями СП.</w:t>
      </w:r>
    </w:p>
    <w:p w:rsidR="00E0155D" w:rsidRPr="002C2D68" w:rsidRDefault="002C2D68" w:rsidP="004F4CCC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Одним из способов озеленения планируемой территории является устройство покрытий из газонной реш</w:t>
      </w:r>
      <w:r>
        <w:rPr>
          <w:color w:val="000000"/>
          <w:sz w:val="28"/>
          <w:szCs w:val="28"/>
        </w:rPr>
        <w:t>етки при обустройстве парковок.</w:t>
      </w:r>
    </w:p>
    <w:p w:rsidR="00906B42" w:rsidRPr="002C2D68" w:rsidRDefault="002C2D68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</w:t>
      </w:r>
      <w:r w:rsidR="00681412">
        <w:rPr>
          <w:b/>
          <w:bCs/>
          <w:color w:val="000000"/>
          <w:sz w:val="28"/>
          <w:szCs w:val="28"/>
        </w:rPr>
        <w:t>. Улично-дорожная сеть и транспорт</w:t>
      </w:r>
    </w:p>
    <w:p w:rsidR="002C2D68" w:rsidRPr="002C2D68" w:rsidRDefault="002C2D68" w:rsidP="00906B42">
      <w:pPr>
        <w:pStyle w:val="af2"/>
        <w:spacing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lastRenderedPageBreak/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Пешеходное движение организовано по уличным тротуарам и пешеходным дорожкам.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Заезд на планируемую территорию возможен с бул. Космонавтов, внутриквартального проезда.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Проектные решения обеспечивают беспрепятственный доступ</w:t>
      </w:r>
      <w:r w:rsidR="00610768">
        <w:rPr>
          <w:color w:val="000000"/>
          <w:sz w:val="28"/>
          <w:szCs w:val="28"/>
        </w:rPr>
        <w:t>,</w:t>
      </w:r>
      <w:r w:rsidRPr="002C2D68">
        <w:rPr>
          <w:color w:val="000000"/>
          <w:sz w:val="28"/>
          <w:szCs w:val="28"/>
        </w:rPr>
        <w:t xml:space="preserve"> в том числе и грузовых машин к восточной стороне ТК «Гостиный двор» (зона загрузок).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 xml:space="preserve">Проектом планировки предусмотрено устройство парковочных мест для временного хранения легковых </w:t>
      </w:r>
      <w:r w:rsidR="00610768" w:rsidRPr="002C2D68">
        <w:rPr>
          <w:color w:val="000000"/>
          <w:sz w:val="28"/>
          <w:szCs w:val="28"/>
        </w:rPr>
        <w:t>автомобилей</w:t>
      </w:r>
      <w:r w:rsidRPr="002C2D68">
        <w:rPr>
          <w:color w:val="000000"/>
          <w:sz w:val="28"/>
          <w:szCs w:val="28"/>
        </w:rPr>
        <w:t>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При этом основное количество парковочных мест предусмотрено с восточной стороны здания ТК «Гостиный двор». Проезд по зоне парковки – сквозной.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Так же, для удобства посетителей, предусмотрено использование в качестве автомобильных парковок существующих «карманов» на проездах по ул. Ленина и бул. Космонавтов, внутриквартальном проезде.</w:t>
      </w:r>
    </w:p>
    <w:p w:rsidR="002C2D68" w:rsidRDefault="002C2D68" w:rsidP="00906B42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</w:t>
      </w:r>
      <w:r w:rsidR="00681412">
        <w:rPr>
          <w:b/>
          <w:bCs/>
          <w:color w:val="000000"/>
          <w:sz w:val="28"/>
          <w:szCs w:val="28"/>
        </w:rPr>
        <w:t>. Пожарная безопасность</w:t>
      </w:r>
    </w:p>
    <w:p w:rsidR="00906B42" w:rsidRPr="002C2D68" w:rsidRDefault="00906B42" w:rsidP="00906B42">
      <w:pPr>
        <w:pStyle w:val="af2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Планировочные решения приняты с учетом противопожарных тр</w:t>
      </w:r>
      <w:r w:rsidR="00906B42">
        <w:rPr>
          <w:color w:val="000000"/>
          <w:sz w:val="28"/>
          <w:szCs w:val="28"/>
        </w:rPr>
        <w:t>ебований, указанных в главе 15 «</w:t>
      </w:r>
      <w:r w:rsidRPr="002C2D68">
        <w:rPr>
          <w:color w:val="000000"/>
          <w:sz w:val="28"/>
          <w:szCs w:val="28"/>
        </w:rPr>
        <w:t>Требования пожарной безопасности при</w:t>
      </w:r>
      <w:r w:rsidR="00906B42">
        <w:rPr>
          <w:color w:val="000000"/>
          <w:sz w:val="28"/>
          <w:szCs w:val="28"/>
        </w:rPr>
        <w:t xml:space="preserve"> градостроительной деятельности» раздела II «</w:t>
      </w:r>
      <w:r w:rsidRPr="002C2D68">
        <w:rPr>
          <w:color w:val="000000"/>
          <w:sz w:val="28"/>
          <w:szCs w:val="28"/>
        </w:rPr>
        <w:t>Требования пожарной безопасности при проектировании, строительстве и эксплуатаци</w:t>
      </w:r>
      <w:r w:rsidR="00906B42">
        <w:rPr>
          <w:color w:val="000000"/>
          <w:sz w:val="28"/>
          <w:szCs w:val="28"/>
        </w:rPr>
        <w:t>и поселений и городских округов»</w:t>
      </w:r>
      <w:r w:rsidRPr="002C2D68">
        <w:rPr>
          <w:color w:val="000000"/>
          <w:sz w:val="28"/>
          <w:szCs w:val="28"/>
        </w:rPr>
        <w:t xml:space="preserve"> Технического регламента о требованиях пожарной безопасности (Федеральный закон от</w:t>
      </w:r>
      <w:r w:rsidR="00906B42">
        <w:rPr>
          <w:color w:val="000000"/>
          <w:sz w:val="28"/>
          <w:szCs w:val="28"/>
        </w:rPr>
        <w:t xml:space="preserve"> 22 июля 2008 г. №</w:t>
      </w:r>
      <w:r w:rsidRPr="002C2D68">
        <w:rPr>
          <w:color w:val="000000"/>
          <w:sz w:val="28"/>
          <w:szCs w:val="28"/>
        </w:rPr>
        <w:t xml:space="preserve"> 123-ФЗ).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На обеспечение пожарной безопасности направлены планировочные, конструктивные и инженерные решения проекта.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Для предотвращения распространения пожаров и для обеспече</w:t>
      </w:r>
      <w:r w:rsidR="00D129A5">
        <w:rPr>
          <w:color w:val="000000"/>
          <w:sz w:val="28"/>
          <w:szCs w:val="28"/>
        </w:rPr>
        <w:t>ния эвакуации людей при пожарах</w:t>
      </w:r>
      <w:r w:rsidRPr="002C2D68">
        <w:rPr>
          <w:color w:val="000000"/>
          <w:sz w:val="28"/>
          <w:szCs w:val="28"/>
        </w:rPr>
        <w:t xml:space="preserve"> проектом планировки предусматриваются следующие мероприятия планировочного характера: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строгое выдерживание нормативных противопожарных разрывов между жилыми и общественными зданиями и сооружениями;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 xml:space="preserve">- обязательное обеспечение подъездов пожарной автотехники ко всем проектируемым зданиям и обеспечение доступа противопожарных и эвакуационных средств </w:t>
      </w:r>
      <w:r w:rsidR="00906B42" w:rsidRPr="002C2D68">
        <w:rPr>
          <w:color w:val="000000"/>
          <w:sz w:val="28"/>
          <w:szCs w:val="28"/>
        </w:rPr>
        <w:t>в каждое</w:t>
      </w:r>
      <w:r w:rsidRPr="002C2D68">
        <w:rPr>
          <w:color w:val="000000"/>
          <w:sz w:val="28"/>
          <w:szCs w:val="28"/>
        </w:rPr>
        <w:t xml:space="preserve"> помещение общественных зданий;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устройство проездов и подъездов к зданиям шириной 6,0 метров;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обеспечение наружного пожаротушения зданий от пожарных гидрантов на закольцованной водопроводной сети. Рабочая проектная документация на строительство зданий и сооружений по индивидуальным проектам подлежит экспертизе по обеспечению пожарной безопасности при эксплуатации.</w:t>
      </w:r>
    </w:p>
    <w:p w:rsidR="00E0155D" w:rsidRPr="002C2D68" w:rsidRDefault="00D129A5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Конструктивные решения включают</w:t>
      </w:r>
      <w:r w:rsidR="002C2D68" w:rsidRPr="002C2D68">
        <w:rPr>
          <w:color w:val="000000"/>
          <w:sz w:val="28"/>
          <w:szCs w:val="28"/>
        </w:rPr>
        <w:t xml:space="preserve"> применение сооружений I-II степеней огнестойкости. Рабочая проектная документация на строительство зданий и сооружений по индивидуальным проектам подлежит экспертизе по обеспечению пожарной</w:t>
      </w:r>
      <w:r w:rsidR="002C2D68">
        <w:rPr>
          <w:color w:val="000000"/>
          <w:sz w:val="28"/>
          <w:szCs w:val="28"/>
        </w:rPr>
        <w:t xml:space="preserve"> безопасности при эксплуатации.</w:t>
      </w:r>
    </w:p>
    <w:p w:rsidR="00E0155D" w:rsidRDefault="00681412" w:rsidP="002C2D68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Градостроительные мероприятия по охране окружающей среды</w:t>
      </w:r>
    </w:p>
    <w:p w:rsidR="002C2D68" w:rsidRPr="002C2D68" w:rsidRDefault="002C2D68" w:rsidP="002C2D68">
      <w:pPr>
        <w:pStyle w:val="af2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Статьей 8 Федерального закона от 30 марта 1999 года № 52-ФЗ «О санитарно-эпидемиологическом благополучии населения» предусмотрено право каждого гражданина на благоприятную среду обитания, факторы которой не оказывают вредного воздействия на человека.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Исходя из необходимости достижения экологического баланса проектируемой территории, определены основные направления экологической деятельности:</w:t>
      </w:r>
    </w:p>
    <w:p w:rsidR="002C2D68" w:rsidRPr="002C2D68" w:rsidRDefault="00D129A5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</w:t>
      </w:r>
      <w:r w:rsidR="002C2D68" w:rsidRPr="002C2D68">
        <w:rPr>
          <w:color w:val="000000"/>
          <w:sz w:val="28"/>
          <w:szCs w:val="28"/>
        </w:rPr>
        <w:t>ероприятия по защите окружающей среды за счет реализации архитектурно-планировочных, инженерно-технически</w:t>
      </w:r>
      <w:r>
        <w:rPr>
          <w:color w:val="000000"/>
          <w:sz w:val="28"/>
          <w:szCs w:val="28"/>
        </w:rPr>
        <w:t>х и организационных мероприятий;</w:t>
      </w:r>
    </w:p>
    <w:p w:rsidR="002C2D68" w:rsidRPr="002C2D68" w:rsidRDefault="00D129A5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</w:t>
      </w:r>
      <w:r w:rsidR="002C2D68" w:rsidRPr="002C2D68">
        <w:rPr>
          <w:color w:val="000000"/>
          <w:sz w:val="28"/>
          <w:szCs w:val="28"/>
        </w:rPr>
        <w:t xml:space="preserve">ероприятия, направленные на </w:t>
      </w:r>
      <w:r>
        <w:rPr>
          <w:color w:val="000000"/>
          <w:sz w:val="28"/>
          <w:szCs w:val="28"/>
        </w:rPr>
        <w:t>воссоздание ресурсов территории;</w:t>
      </w:r>
    </w:p>
    <w:p w:rsidR="002C2D68" w:rsidRPr="002C2D68" w:rsidRDefault="00D129A5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</w:t>
      </w:r>
      <w:r w:rsidR="002C2D68" w:rsidRPr="002C2D68">
        <w:rPr>
          <w:color w:val="000000"/>
          <w:sz w:val="28"/>
          <w:szCs w:val="28"/>
        </w:rPr>
        <w:t>нженерная подготовка и вертикальная планировка организовывает отвод поверхностных вод, защищает территорию от подтопления и затопления</w:t>
      </w:r>
      <w:r>
        <w:rPr>
          <w:color w:val="000000"/>
          <w:sz w:val="28"/>
          <w:szCs w:val="28"/>
        </w:rPr>
        <w:t>.</w:t>
      </w:r>
    </w:p>
    <w:p w:rsidR="002C2D68" w:rsidRPr="002C2D68" w:rsidRDefault="002C2D68" w:rsidP="002C2D68">
      <w:pPr>
        <w:pStyle w:val="af2"/>
        <w:spacing w:before="0" w:after="0"/>
        <w:ind w:firstLine="851"/>
        <w:rPr>
          <w:color w:val="000000"/>
          <w:sz w:val="28"/>
          <w:szCs w:val="28"/>
        </w:rPr>
      </w:pP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Инженерно-технические мероприятия: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совершенствование технологических процессов, внедрение малоотходных технологий;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 xml:space="preserve">- внедрение </w:t>
      </w:r>
      <w:proofErr w:type="spellStart"/>
      <w:r w:rsidRPr="002C2D68">
        <w:rPr>
          <w:color w:val="000000"/>
          <w:sz w:val="28"/>
          <w:szCs w:val="28"/>
        </w:rPr>
        <w:t>водосберегающих</w:t>
      </w:r>
      <w:proofErr w:type="spellEnd"/>
      <w:r w:rsidRPr="002C2D68">
        <w:rPr>
          <w:color w:val="000000"/>
          <w:sz w:val="28"/>
          <w:szCs w:val="28"/>
        </w:rPr>
        <w:t xml:space="preserve"> технологий и оборудования; 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Организационные меры: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контроль за работой автотранспорта;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мониторинг состояния окружающей среды;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- соблюдение мероприятий Программы управления отходами.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Территория проектируемого района расположена в центральной части городского округа вне границ санитарно-защитных зон.</w:t>
      </w:r>
    </w:p>
    <w:p w:rsidR="002C2D68" w:rsidRPr="002C2D68" w:rsidRDefault="002C2D68" w:rsidP="00906B42">
      <w:pPr>
        <w:pStyle w:val="af2"/>
        <w:spacing w:before="0" w:after="0"/>
        <w:ind w:firstLine="851"/>
        <w:jc w:val="both"/>
        <w:rPr>
          <w:color w:val="000000"/>
          <w:sz w:val="28"/>
          <w:szCs w:val="28"/>
        </w:rPr>
      </w:pPr>
      <w:r w:rsidRPr="002C2D68">
        <w:rPr>
          <w:color w:val="000000"/>
          <w:sz w:val="28"/>
          <w:szCs w:val="28"/>
        </w:rPr>
        <w:t>Источником загрязнения и шума на данной проектируемой территории является  автомобильный транспорт.</w:t>
      </w:r>
    </w:p>
    <w:p w:rsidR="00E0155D" w:rsidRDefault="00E0155D">
      <w:pPr>
        <w:pStyle w:val="af2"/>
        <w:spacing w:after="0"/>
        <w:jc w:val="both"/>
        <w:rPr>
          <w:sz w:val="28"/>
          <w:szCs w:val="28"/>
        </w:rPr>
      </w:pPr>
    </w:p>
    <w:p w:rsidR="00E0155D" w:rsidRDefault="00681412" w:rsidP="00906B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D1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Санитарная очистка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мусороудаление</w:t>
      </w:r>
      <w:proofErr w:type="spellEnd"/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Санитарная очистка территории включает следующие мероприятия: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сбор </w:t>
      </w:r>
      <w:r w:rsidR="00D129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удаление за пределы населенного пункта</w:t>
      </w: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твердых коммунальных отходов (мусора);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обезвреживание отбросов;</w:t>
      </w:r>
    </w:p>
    <w:p w:rsidR="002C2D68" w:rsidRPr="002C2D68" w:rsidRDefault="002C2D68" w:rsidP="00906B42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уборка улиц и площадей.</w:t>
      </w:r>
    </w:p>
    <w:p w:rsidR="002C2D68" w:rsidRPr="002C2D68" w:rsidRDefault="002C2D68" w:rsidP="002C2D68">
      <w:pPr>
        <w:pStyle w:val="Standard"/>
        <w:shd w:val="clear" w:color="auto" w:fill="FFFFFF"/>
        <w:tabs>
          <w:tab w:val="left" w:pos="720"/>
        </w:tabs>
        <w:autoSpaceDE w:val="0"/>
        <w:snapToGri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2C2D68" w:rsidRPr="002C2D68" w:rsidRDefault="002C2D68" w:rsidP="00906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предлагается:</w:t>
      </w:r>
    </w:p>
    <w:p w:rsidR="002C2D68" w:rsidRPr="002C2D68" w:rsidRDefault="002C2D68" w:rsidP="00906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раздельного сбора пищевых и непищевых отходов;</w:t>
      </w:r>
    </w:p>
    <w:p w:rsidR="002C2D68" w:rsidRPr="002C2D68" w:rsidRDefault="002C2D68" w:rsidP="00906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раздельного сбора отходов бумаги (картона), древесины, полимеров (пол</w:t>
      </w:r>
      <w:r w:rsidR="00D1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иэтилена), металлолома, автошин</w:t>
      </w:r>
      <w:bookmarkStart w:id="0" w:name="_GoBack"/>
      <w:bookmarkEnd w:id="0"/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стеклобоя</w:t>
      </w:r>
      <w:proofErr w:type="spellEnd"/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2D68" w:rsidRPr="002C2D68" w:rsidRDefault="002C2D68" w:rsidP="00906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приемных пунктов вторичного сырья в коммунальных зонах;</w:t>
      </w:r>
    </w:p>
    <w:p w:rsidR="00E0155D" w:rsidRPr="008125F2" w:rsidRDefault="002C2D68" w:rsidP="00906B42">
      <w:pPr>
        <w:spacing w:after="0" w:line="240" w:lineRule="auto"/>
        <w:ind w:firstLine="851"/>
        <w:jc w:val="both"/>
      </w:pPr>
      <w:r w:rsidRPr="002C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</w:p>
    <w:p w:rsidR="00E0155D" w:rsidRDefault="00681412">
      <w:pPr>
        <w:pStyle w:val="af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Основные технико-экономические показатели</w:t>
      </w:r>
    </w:p>
    <w:p w:rsidR="00E0155D" w:rsidRDefault="00E0155D">
      <w:pPr>
        <w:pStyle w:val="af2"/>
        <w:spacing w:after="0"/>
        <w:jc w:val="right"/>
        <w:rPr>
          <w:sz w:val="28"/>
          <w:szCs w:val="28"/>
        </w:rPr>
      </w:pPr>
    </w:p>
    <w:p w:rsidR="008125F2" w:rsidRPr="00906B42" w:rsidRDefault="008125F2" w:rsidP="008125F2">
      <w:pPr>
        <w:pStyle w:val="Standard"/>
        <w:snapToGrid w:val="0"/>
        <w:jc w:val="center"/>
        <w:rPr>
          <w:rFonts w:ascii="Times New Roman" w:eastAsia="PMingLiU" w:hAnsi="Times New Roman" w:cs="Times New Roman"/>
          <w:kern w:val="0"/>
          <w:sz w:val="32"/>
          <w:szCs w:val="28"/>
          <w:lang w:eastAsia="ru-RU"/>
        </w:rPr>
      </w:pPr>
      <w:r w:rsidRPr="00906B42">
        <w:rPr>
          <w:rFonts w:ascii="Times New Roman" w:eastAsia="PMingLiU" w:hAnsi="Times New Roman" w:cs="Times New Roman"/>
          <w:kern w:val="0"/>
          <w:sz w:val="32"/>
          <w:szCs w:val="28"/>
          <w:lang w:eastAsia="ru-RU"/>
        </w:rPr>
        <w:t>Технико-экономические показатели</w:t>
      </w:r>
      <w:r w:rsidR="007C57E4" w:rsidRPr="00906B42">
        <w:rPr>
          <w:rFonts w:ascii="Times New Roman" w:eastAsia="PMingLiU" w:hAnsi="Times New Roman" w:cs="Times New Roman"/>
          <w:kern w:val="0"/>
          <w:sz w:val="32"/>
          <w:szCs w:val="28"/>
          <w:lang w:eastAsia="ru-RU"/>
        </w:rPr>
        <w:t xml:space="preserve"> по вновь сформированным участкам</w:t>
      </w:r>
    </w:p>
    <w:p w:rsidR="008125F2" w:rsidRPr="00D31E16" w:rsidRDefault="008125F2" w:rsidP="008125F2">
      <w:pPr>
        <w:autoSpaceDE w:val="0"/>
        <w:jc w:val="both"/>
        <w:rPr>
          <w:rFonts w:ascii="ISOCPEUR" w:hAnsi="ISOCPEUR" w:cs="Arial"/>
          <w:i/>
          <w:color w:val="FF0000"/>
          <w:sz w:val="28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6"/>
        <w:gridCol w:w="5501"/>
        <w:gridCol w:w="2865"/>
      </w:tblGrid>
      <w:tr w:rsidR="008125F2" w:rsidRPr="00194AB8" w:rsidTr="00906B42">
        <w:trPr>
          <w:trHeight w:val="56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N </w:t>
            </w:r>
          </w:p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</w:t>
            </w:r>
          </w:p>
        </w:tc>
      </w:tr>
      <w:tr w:rsidR="008125F2" w:rsidRPr="00194AB8" w:rsidTr="00906B4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Общая площадь земельного участка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7C57E4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13749</w:t>
            </w:r>
          </w:p>
        </w:tc>
      </w:tr>
      <w:tr w:rsidR="008125F2" w:rsidRPr="00194AB8" w:rsidTr="00906B4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 застройки</w:t>
            </w:r>
          </w:p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 в том числе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6512,8 (53,48%)</w:t>
            </w:r>
          </w:p>
        </w:tc>
      </w:tr>
      <w:tr w:rsidR="008125F2" w:rsidRPr="00194AB8" w:rsidTr="00906B4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Существующее здание ТК «Гостиный двор»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5062,8</w:t>
            </w:r>
          </w:p>
        </w:tc>
      </w:tr>
      <w:tr w:rsidR="008125F2" w:rsidRPr="00194AB8" w:rsidTr="00906B42">
        <w:trPr>
          <w:trHeight w:val="450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Проектируемый пристрой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1450</w:t>
            </w:r>
          </w:p>
        </w:tc>
      </w:tr>
      <w:tr w:rsidR="008125F2" w:rsidRPr="00194AB8" w:rsidTr="00906B42">
        <w:trPr>
          <w:trHeight w:val="435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 xml:space="preserve">Площадь озеленения 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1218 (10%)</w:t>
            </w:r>
          </w:p>
        </w:tc>
      </w:tr>
      <w:tr w:rsidR="008125F2" w:rsidRPr="00194AB8" w:rsidTr="00906B42">
        <w:trPr>
          <w:trHeight w:val="435"/>
        </w:trPr>
        <w:tc>
          <w:tcPr>
            <w:tcW w:w="103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left="74" w:firstLine="22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38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Площадь твердых покрытий</w:t>
            </w:r>
          </w:p>
        </w:tc>
        <w:tc>
          <w:tcPr>
            <w:tcW w:w="2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8125F2" w:rsidRPr="008125F2" w:rsidRDefault="008125F2" w:rsidP="008125F2">
            <w:pPr>
              <w:pStyle w:val="af2"/>
              <w:spacing w:before="0" w:after="0"/>
              <w:ind w:firstLine="66"/>
              <w:rPr>
                <w:color w:val="000000"/>
                <w:sz w:val="28"/>
                <w:szCs w:val="28"/>
              </w:rPr>
            </w:pPr>
            <w:r w:rsidRPr="008125F2">
              <w:rPr>
                <w:color w:val="000000"/>
                <w:sz w:val="28"/>
                <w:szCs w:val="28"/>
              </w:rPr>
              <w:t>4447,2</w:t>
            </w:r>
          </w:p>
        </w:tc>
      </w:tr>
    </w:tbl>
    <w:p w:rsidR="008125F2" w:rsidRPr="00D31E16" w:rsidRDefault="008125F2" w:rsidP="008125F2">
      <w:pPr>
        <w:rPr>
          <w:rFonts w:ascii="ISOCPEUR" w:hAnsi="ISOCPEUR" w:cs="Arial"/>
          <w:i/>
          <w:color w:val="FF0000"/>
        </w:rPr>
      </w:pPr>
    </w:p>
    <w:p w:rsidR="00E0155D" w:rsidRDefault="0068141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по проекту межевания</w:t>
      </w:r>
    </w:p>
    <w:p w:rsidR="00E0155D" w:rsidRDefault="00E0155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155D" w:rsidRPr="008C046E" w:rsidRDefault="006814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046E">
        <w:rPr>
          <w:rFonts w:ascii="Times New Roman" w:hAnsi="Times New Roman" w:cs="Times New Roman"/>
          <w:sz w:val="28"/>
          <w:szCs w:val="28"/>
        </w:rPr>
        <w:t>П</w:t>
      </w:r>
      <w:r w:rsidR="008C046E" w:rsidRPr="008C046E">
        <w:rPr>
          <w:rFonts w:ascii="Times New Roman" w:hAnsi="Times New Roman" w:cs="Times New Roman"/>
          <w:sz w:val="28"/>
          <w:szCs w:val="28"/>
        </w:rPr>
        <w:t>ло</w:t>
      </w:r>
      <w:r w:rsidR="007C57E4">
        <w:rPr>
          <w:rFonts w:ascii="Times New Roman" w:hAnsi="Times New Roman" w:cs="Times New Roman"/>
          <w:sz w:val="28"/>
          <w:szCs w:val="28"/>
        </w:rPr>
        <w:t>щадь территории межевания – 1,3749</w:t>
      </w:r>
      <w:r w:rsidRPr="008C046E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E0155D" w:rsidRPr="008C046E" w:rsidRDefault="006814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C046E">
        <w:rPr>
          <w:rFonts w:ascii="Times New Roman" w:hAnsi="Times New Roman" w:cs="Times New Roman"/>
          <w:sz w:val="28"/>
          <w:szCs w:val="28"/>
        </w:rPr>
        <w:t>Ко</w:t>
      </w:r>
      <w:r w:rsidR="007C57E4">
        <w:rPr>
          <w:rFonts w:ascii="Times New Roman" w:hAnsi="Times New Roman" w:cs="Times New Roman"/>
          <w:sz w:val="28"/>
          <w:szCs w:val="28"/>
        </w:rPr>
        <w:t>личество земельных участков - 2</w:t>
      </w:r>
    </w:p>
    <w:p w:rsidR="00E0155D" w:rsidRDefault="00E0155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0155D" w:rsidRDefault="00E0155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155D" w:rsidRPr="00906B42" w:rsidRDefault="00681412" w:rsidP="00906B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Администрации                 </w:t>
      </w:r>
      <w:r w:rsidR="00906B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Евграфов</w:t>
      </w:r>
    </w:p>
    <w:sectPr w:rsidR="00E0155D" w:rsidRPr="00906B42" w:rsidSect="001E600F">
      <w:headerReference w:type="default" r:id="rId7"/>
      <w:pgSz w:w="11906" w:h="16838"/>
      <w:pgMar w:top="1134" w:right="850" w:bottom="993" w:left="1701" w:header="708" w:footer="0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08" w:rsidRDefault="00A77A08">
      <w:pPr>
        <w:spacing w:after="0" w:line="240" w:lineRule="auto"/>
      </w:pPr>
      <w:r>
        <w:separator/>
      </w:r>
    </w:p>
  </w:endnote>
  <w:endnote w:type="continuationSeparator" w:id="0">
    <w:p w:rsidR="00A77A08" w:rsidRDefault="00A7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08" w:rsidRDefault="00A77A08">
      <w:pPr>
        <w:spacing w:after="0" w:line="240" w:lineRule="auto"/>
      </w:pPr>
      <w:r>
        <w:separator/>
      </w:r>
    </w:p>
  </w:footnote>
  <w:footnote w:type="continuationSeparator" w:id="0">
    <w:p w:rsidR="00A77A08" w:rsidRDefault="00A7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612706"/>
      <w:docPartObj>
        <w:docPartGallery w:val="Page Numbers (Top of Page)"/>
        <w:docPartUnique/>
      </w:docPartObj>
    </w:sdtPr>
    <w:sdtEndPr/>
    <w:sdtContent>
      <w:p w:rsidR="001E600F" w:rsidRDefault="001E60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9A5">
          <w:rPr>
            <w:noProof/>
          </w:rPr>
          <w:t>14</w:t>
        </w:r>
        <w:r>
          <w:fldChar w:fldCharType="end"/>
        </w:r>
      </w:p>
    </w:sdtContent>
  </w:sdt>
  <w:p w:rsidR="00E0155D" w:rsidRDefault="00E015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6E0B"/>
    <w:multiLevelType w:val="multilevel"/>
    <w:tmpl w:val="EB8C06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216026"/>
    <w:multiLevelType w:val="hybridMultilevel"/>
    <w:tmpl w:val="BEBA8BA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7D8072E3"/>
    <w:multiLevelType w:val="multilevel"/>
    <w:tmpl w:val="758A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155D"/>
    <w:rsid w:val="00100F25"/>
    <w:rsid w:val="00142EB1"/>
    <w:rsid w:val="001E600F"/>
    <w:rsid w:val="002C2D68"/>
    <w:rsid w:val="004F4CCC"/>
    <w:rsid w:val="00610768"/>
    <w:rsid w:val="00655CBC"/>
    <w:rsid w:val="00681412"/>
    <w:rsid w:val="007C57E4"/>
    <w:rsid w:val="007F275D"/>
    <w:rsid w:val="008125F2"/>
    <w:rsid w:val="00827AAA"/>
    <w:rsid w:val="008C046E"/>
    <w:rsid w:val="00906B42"/>
    <w:rsid w:val="00A77A08"/>
    <w:rsid w:val="00AA0191"/>
    <w:rsid w:val="00C84050"/>
    <w:rsid w:val="00CB420E"/>
    <w:rsid w:val="00D129A5"/>
    <w:rsid w:val="00D868E5"/>
    <w:rsid w:val="00E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0EC575-B870-472E-9186-96BA26F6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Lucida Sans Unicode" w:hAnsi="Calibri" w:cs="Calibri"/>
      <w:lang w:eastAsia="en-US"/>
    </w:rPr>
  </w:style>
  <w:style w:type="paragraph" w:styleId="3">
    <w:name w:val="heading 3"/>
    <w:basedOn w:val="a"/>
    <w:pPr>
      <w:keepNext/>
      <w:tabs>
        <w:tab w:val="left" w:pos="0"/>
        <w:tab w:val="left" w:pos="709"/>
      </w:tabs>
      <w:spacing w:before="240" w:after="120" w:line="100" w:lineRule="atLeast"/>
      <w:outlineLvl w:val="2"/>
    </w:pPr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rPr>
      <w:rFonts w:ascii="Times New Roman" w:eastAsia="MS Mincho" w:hAnsi="Times New Roman" w:cs="Tahoma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apple-converted-space">
    <w:name w:val="apple-converted-space"/>
    <w:basedOn w:val="a0"/>
  </w:style>
  <w:style w:type="character" w:customStyle="1" w:styleId="a5">
    <w:name w:val="Верхний колонтитул Знак"/>
    <w:basedOn w:val="a0"/>
    <w:uiPriority w:val="99"/>
  </w:style>
  <w:style w:type="character" w:customStyle="1" w:styleId="a6">
    <w:name w:val="Нижний колонтитул Знак"/>
    <w:basedOn w:val="a0"/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pPr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styleId="ad">
    <w:name w:val="List Paragraph"/>
    <w:basedOn w:val="a"/>
    <w:pPr>
      <w:ind w:left="720"/>
      <w:contextualSpacing/>
    </w:pPr>
  </w:style>
  <w:style w:type="paragraph" w:styleId="ae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420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CB420E"/>
    <w:pPr>
      <w:autoSpaceDN w:val="0"/>
      <w:spacing w:after="120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af3">
    <w:name w:val="текст"/>
    <w:basedOn w:val="a"/>
    <w:link w:val="af4"/>
    <w:qFormat/>
    <w:rsid w:val="00CB420E"/>
    <w:pPr>
      <w:suppressAutoHyphens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4">
    <w:name w:val="текст Знак"/>
    <w:link w:val="af3"/>
    <w:rsid w:val="00CB420E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rvts10">
    <w:name w:val="rvts10"/>
    <w:rsid w:val="002C2D68"/>
  </w:style>
  <w:style w:type="paragraph" w:customStyle="1" w:styleId="af5">
    <w:name w:val="Содержимое таблицы"/>
    <w:basedOn w:val="a"/>
    <w:rsid w:val="008125F2"/>
    <w:pPr>
      <w:widowControl w:val="0"/>
      <w:suppressLineNumbers/>
      <w:spacing w:after="0" w:line="240" w:lineRule="auto"/>
    </w:pPr>
    <w:rPr>
      <w:rFonts w:ascii="Arial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</dc:creator>
  <cp:lastModifiedBy>Исхаков</cp:lastModifiedBy>
  <cp:revision>27</cp:revision>
  <cp:lastPrinted>2015-02-03T10:31:00Z</cp:lastPrinted>
  <dcterms:created xsi:type="dcterms:W3CDTF">2015-01-21T11:22:00Z</dcterms:created>
  <dcterms:modified xsi:type="dcterms:W3CDTF">2018-09-04T05:55:00Z</dcterms:modified>
</cp:coreProperties>
</file>