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bookmarkStart w:id="0" w:name="bookmark3"/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Приложение № 5 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постановлению Администрации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городского округа город Салават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Республика Башкортостан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от «___»______2018г. №________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Пояснительная записка 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проекту межевания территории кадастрового квартала 02:59:070</w:t>
      </w:r>
      <w:r w:rsidR="0025767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1</w:t>
      </w:r>
      <w:r w:rsidR="001E0152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37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Cs w:val="32"/>
        </w:rPr>
      </w:pPr>
      <w:r w:rsidRPr="000201D8">
        <w:rPr>
          <w:rFonts w:eastAsia="Times New Roman"/>
          <w:b w:val="0"/>
          <w:spacing w:val="3"/>
          <w:szCs w:val="32"/>
        </w:rPr>
        <w:t>Общая часть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территории ка</w:t>
      </w:r>
      <w:r w:rsid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дастрового квартала 02:59:070</w:t>
      </w:r>
      <w:r w:rsidR="001E0152">
        <w:rPr>
          <w:rFonts w:ascii="Times New Roman" w:eastAsia="Times New Roman" w:hAnsi="Times New Roman" w:cs="Times New Roman"/>
          <w:spacing w:val="3"/>
          <w:sz w:val="32"/>
          <w:szCs w:val="32"/>
        </w:rPr>
        <w:t>137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257678">
        <w:rPr>
          <w:rFonts w:ascii="Times New Roman" w:eastAsia="Times New Roman" w:hAnsi="Times New Roman" w:cs="Times New Roman"/>
          <w:spacing w:val="3"/>
          <w:sz w:val="32"/>
          <w:szCs w:val="32"/>
        </w:rPr>
        <w:t>М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униципальным контрактом.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0201D8" w:rsidRDefault="00545380" w:rsidP="00545380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выполнен в местной системе координат МСК-02 зона 1.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ind w:left="142" w:right="-143" w:firstLine="425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spacing w:after="0" w:line="240" w:lineRule="auto"/>
        <w:ind w:left="142" w:right="-143" w:firstLine="425"/>
        <w:rPr>
          <w:b/>
          <w:sz w:val="32"/>
          <w:szCs w:val="32"/>
          <w:lang w:eastAsia="ru-RU" w:bidi="ru-RU"/>
        </w:rPr>
      </w:pPr>
    </w:p>
    <w:p w:rsidR="001D073E" w:rsidRPr="000201D8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32"/>
          <w:szCs w:val="32"/>
        </w:rPr>
      </w:pPr>
      <w:r w:rsidRPr="000201D8">
        <w:rPr>
          <w:b w:val="0"/>
          <w:sz w:val="32"/>
          <w:szCs w:val="32"/>
          <w:lang w:eastAsia="ru-RU" w:bidi="ru-RU"/>
        </w:rPr>
        <w:t>Анализ существующего землепользования</w:t>
      </w:r>
      <w:bookmarkEnd w:id="0"/>
    </w:p>
    <w:p w:rsidR="00206C82" w:rsidRPr="000201D8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32"/>
          <w:szCs w:val="32"/>
        </w:rPr>
      </w:pP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>
        <w:rPr>
          <w:sz w:val="32"/>
          <w:szCs w:val="32"/>
        </w:rPr>
        <w:t>02:59:070</w:t>
      </w:r>
      <w:r w:rsidR="001E0152">
        <w:rPr>
          <w:sz w:val="32"/>
          <w:szCs w:val="32"/>
        </w:rPr>
        <w:t>137</w:t>
      </w:r>
      <w:r w:rsidRPr="000201D8">
        <w:rPr>
          <w:sz w:val="32"/>
          <w:szCs w:val="32"/>
          <w:lang w:eastAsia="ru-RU" w:bidi="ru-RU"/>
        </w:rPr>
        <w:t>. С северной стороны</w:t>
      </w:r>
      <w:r w:rsidR="00257678">
        <w:rPr>
          <w:sz w:val="32"/>
          <w:szCs w:val="32"/>
          <w:lang w:eastAsia="ru-RU" w:bidi="ru-RU"/>
        </w:rPr>
        <w:t xml:space="preserve"> т</w:t>
      </w:r>
      <w:r w:rsidR="00257678" w:rsidRPr="000201D8">
        <w:rPr>
          <w:sz w:val="32"/>
          <w:szCs w:val="32"/>
          <w:lang w:eastAsia="ru-RU" w:bidi="ru-RU"/>
        </w:rPr>
        <w:t>ерритория</w:t>
      </w:r>
      <w:r w:rsidRPr="000201D8">
        <w:rPr>
          <w:sz w:val="32"/>
          <w:szCs w:val="32"/>
          <w:lang w:eastAsia="ru-RU" w:bidi="ru-RU"/>
        </w:rPr>
        <w:t xml:space="preserve"> ограничена </w:t>
      </w:r>
      <w:r w:rsidR="00257678">
        <w:rPr>
          <w:sz w:val="32"/>
          <w:szCs w:val="32"/>
          <w:lang w:eastAsia="ru-RU" w:bidi="ru-RU"/>
        </w:rPr>
        <w:t xml:space="preserve">ул. </w:t>
      </w:r>
      <w:r w:rsidR="001E0152">
        <w:rPr>
          <w:sz w:val="32"/>
          <w:szCs w:val="32"/>
          <w:lang w:eastAsia="ru-RU" w:bidi="ru-RU"/>
        </w:rPr>
        <w:t>Гагарина</w:t>
      </w:r>
      <w:r w:rsidRPr="000201D8">
        <w:rPr>
          <w:sz w:val="32"/>
          <w:szCs w:val="32"/>
          <w:lang w:eastAsia="ru-RU" w:bidi="ru-RU"/>
        </w:rPr>
        <w:t xml:space="preserve">, с южной - </w:t>
      </w:r>
      <w:r w:rsidR="001E0152">
        <w:rPr>
          <w:sz w:val="32"/>
          <w:szCs w:val="32"/>
          <w:lang w:eastAsia="ru-RU" w:bidi="ru-RU"/>
        </w:rPr>
        <w:t>проспект Нефтяников</w:t>
      </w:r>
      <w:r w:rsidRPr="000201D8">
        <w:rPr>
          <w:sz w:val="32"/>
          <w:szCs w:val="32"/>
          <w:lang w:eastAsia="ru-RU" w:bidi="ru-RU"/>
        </w:rPr>
        <w:t xml:space="preserve">, с западной </w:t>
      </w:r>
      <w:r w:rsidR="001E0152">
        <w:rPr>
          <w:sz w:val="32"/>
          <w:szCs w:val="32"/>
          <w:lang w:eastAsia="ru-RU" w:bidi="ru-RU"/>
        </w:rPr>
        <w:t>–</w:t>
      </w:r>
      <w:r w:rsidRPr="000201D8">
        <w:rPr>
          <w:sz w:val="32"/>
          <w:szCs w:val="32"/>
          <w:lang w:eastAsia="ru-RU" w:bidi="ru-RU"/>
        </w:rPr>
        <w:t xml:space="preserve"> </w:t>
      </w:r>
      <w:r w:rsidR="001E0152">
        <w:rPr>
          <w:sz w:val="32"/>
          <w:szCs w:val="32"/>
          <w:lang w:eastAsia="ru-RU" w:bidi="ru-RU"/>
        </w:rPr>
        <w:t>ул. Карла Маркса</w:t>
      </w:r>
      <w:r w:rsidRPr="000201D8">
        <w:rPr>
          <w:sz w:val="32"/>
          <w:szCs w:val="32"/>
          <w:lang w:eastAsia="ru-RU" w:bidi="ru-RU"/>
        </w:rPr>
        <w:t xml:space="preserve">, с восточной - </w:t>
      </w:r>
      <w:r w:rsidR="001E0152">
        <w:rPr>
          <w:sz w:val="32"/>
          <w:szCs w:val="32"/>
          <w:lang w:eastAsia="ru-RU" w:bidi="ru-RU"/>
        </w:rPr>
        <w:t>переулок Школьный</w:t>
      </w:r>
      <w:r w:rsidRPr="000201D8">
        <w:rPr>
          <w:sz w:val="32"/>
          <w:szCs w:val="32"/>
          <w:lang w:eastAsia="ru-RU" w:bidi="ru-RU"/>
        </w:rPr>
        <w:t>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>Территория кадастрового квартала составляет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="00F21BFE">
        <w:rPr>
          <w:sz w:val="32"/>
          <w:szCs w:val="32"/>
          <w:lang w:eastAsia="ru-RU" w:bidi="ru-RU"/>
        </w:rPr>
        <w:t>9,23</w:t>
      </w:r>
      <w:r w:rsidR="00031FC3" w:rsidRPr="000201D8">
        <w:rPr>
          <w:b/>
          <w:bCs/>
          <w:sz w:val="32"/>
          <w:szCs w:val="32"/>
          <w:shd w:val="clear" w:color="auto" w:fill="FFFFFF"/>
        </w:rPr>
        <w:t xml:space="preserve"> </w:t>
      </w:r>
      <w:r w:rsidRPr="000201D8">
        <w:rPr>
          <w:sz w:val="32"/>
          <w:szCs w:val="32"/>
          <w:lang w:eastAsia="ru-RU" w:bidi="ru-RU"/>
        </w:rPr>
        <w:t>га.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lastRenderedPageBreak/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Pr="000201D8">
        <w:rPr>
          <w:sz w:val="32"/>
          <w:szCs w:val="32"/>
          <w:lang w:eastAsia="ru-RU" w:bidi="ru-RU"/>
        </w:rPr>
        <w:t>общественно-деловой застройки городского значения.</w:t>
      </w:r>
    </w:p>
    <w:p w:rsidR="00336FF6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Информация по существующим землепользовате</w:t>
      </w:r>
      <w:r w:rsidR="00545380" w:rsidRPr="000201D8">
        <w:rPr>
          <w:sz w:val="32"/>
          <w:szCs w:val="32"/>
          <w:lang w:eastAsia="ru-RU" w:bidi="ru-RU"/>
        </w:rPr>
        <w:t>лям представлена в Таблице 2.</w:t>
      </w:r>
      <w:r w:rsidR="005B0B9C" w:rsidRPr="000201D8">
        <w:rPr>
          <w:sz w:val="32"/>
          <w:szCs w:val="32"/>
          <w:lang w:eastAsia="ru-RU" w:bidi="ru-RU"/>
        </w:rPr>
        <w:t>1.</w:t>
      </w:r>
    </w:p>
    <w:p w:rsidR="00DB1C3F" w:rsidRPr="000201D8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i/>
          <w:sz w:val="32"/>
          <w:szCs w:val="32"/>
        </w:rPr>
      </w:pPr>
      <w:r w:rsidRPr="000201D8">
        <w:rPr>
          <w:b w:val="0"/>
          <w:i/>
          <w:sz w:val="32"/>
          <w:szCs w:val="32"/>
        </w:rPr>
        <w:t>Зоны с особыми условиями использования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границах территории проходят зоны санитарного разрыва от инженерных коммуникаций, зона особого регулирования градостроительной деятельности.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32"/>
          <w:szCs w:val="32"/>
        </w:rPr>
      </w:pPr>
      <w:r w:rsidRPr="000201D8">
        <w:rPr>
          <w:i w:val="0"/>
          <w:sz w:val="32"/>
          <w:szCs w:val="32"/>
        </w:rPr>
        <w:t>Зоны санитарного разрыва от инженерных коммуникаций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Зона особого регулирования градостроительной деятельности</w:t>
      </w:r>
    </w:p>
    <w:p w:rsidR="00DB1C3F" w:rsidRPr="001E0152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 xml:space="preserve"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</w:t>
      </w:r>
      <w:r w:rsidRPr="001E0152">
        <w:rPr>
          <w:sz w:val="32"/>
          <w:szCs w:val="32"/>
        </w:rPr>
        <w:t>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1E0152" w:rsidRPr="001E0152" w:rsidRDefault="001E0152" w:rsidP="001E0152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1E0152">
        <w:rPr>
          <w:sz w:val="32"/>
          <w:szCs w:val="32"/>
        </w:rPr>
        <w:t>На территории кадастрового квартала имеются выявленные объекты культурного наследия:</w:t>
      </w:r>
    </w:p>
    <w:p w:rsidR="001E0152" w:rsidRDefault="001E0152" w:rsidP="001E0152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32"/>
          <w:szCs w:val="32"/>
        </w:rPr>
      </w:pPr>
      <w:r w:rsidRPr="001E0152">
        <w:rPr>
          <w:sz w:val="32"/>
          <w:szCs w:val="32"/>
        </w:rPr>
        <w:t>Монументально-декоративное произведение искус</w:t>
      </w:r>
      <w:r>
        <w:rPr>
          <w:sz w:val="32"/>
          <w:szCs w:val="32"/>
        </w:rPr>
        <w:t>с</w:t>
      </w:r>
      <w:r w:rsidRPr="001E0152">
        <w:rPr>
          <w:sz w:val="32"/>
          <w:szCs w:val="32"/>
        </w:rPr>
        <w:t>тва, расположенное на фасаде жилого дома – «</w:t>
      </w:r>
      <w:r>
        <w:rPr>
          <w:sz w:val="32"/>
          <w:szCs w:val="32"/>
        </w:rPr>
        <w:t>Ленин» (адрес: проспект Нефтяников, 2</w:t>
      </w:r>
      <w:r w:rsidRPr="001E0152">
        <w:rPr>
          <w:sz w:val="32"/>
          <w:szCs w:val="32"/>
        </w:rPr>
        <w:t>;</w:t>
      </w:r>
    </w:p>
    <w:p w:rsidR="001E0152" w:rsidRDefault="001E0152" w:rsidP="001E0152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32"/>
          <w:szCs w:val="32"/>
        </w:rPr>
      </w:pPr>
      <w:r>
        <w:rPr>
          <w:sz w:val="32"/>
          <w:szCs w:val="32"/>
        </w:rPr>
        <w:t>М</w:t>
      </w:r>
      <w:r w:rsidRPr="001E0152">
        <w:rPr>
          <w:sz w:val="32"/>
          <w:szCs w:val="32"/>
        </w:rPr>
        <w:t>онументально-декоративное произведение иску</w:t>
      </w:r>
      <w:r>
        <w:rPr>
          <w:sz w:val="32"/>
          <w:szCs w:val="32"/>
        </w:rPr>
        <w:t>с</w:t>
      </w:r>
      <w:r w:rsidRPr="001E0152">
        <w:rPr>
          <w:sz w:val="32"/>
          <w:szCs w:val="32"/>
        </w:rPr>
        <w:t>ства, расположенное на фасаде жилого дома – «</w:t>
      </w:r>
      <w:r>
        <w:rPr>
          <w:sz w:val="32"/>
          <w:szCs w:val="32"/>
        </w:rPr>
        <w:t>Спорт» (адрес: проспект Нефтяников, 12</w:t>
      </w:r>
      <w:r w:rsidRPr="001E0152">
        <w:rPr>
          <w:sz w:val="32"/>
          <w:szCs w:val="32"/>
        </w:rPr>
        <w:t>;</w:t>
      </w:r>
    </w:p>
    <w:p w:rsidR="005B0B9C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Pr="000201D8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1E0152" w:rsidRPr="000201D8" w:rsidSect="001D073E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275"/>
        <w:gridCol w:w="2123"/>
        <w:gridCol w:w="1279"/>
        <w:gridCol w:w="2977"/>
        <w:gridCol w:w="3118"/>
      </w:tblGrid>
      <w:tr w:rsidR="00225435" w:rsidRPr="00DB41AE" w:rsidTr="008651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 п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</w:t>
            </w:r>
            <w:proofErr w:type="spell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остановочного павильона с торговым киоском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547961.68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административного здания комбината здоровья "</w:t>
            </w:r>
            <w:proofErr w:type="spell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Агидель</w:t>
            </w:r>
            <w:proofErr w:type="spell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02-04-15/024/2014-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311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26.09.2014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 5-ти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4341282.76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крыльца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485274.89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детского сада № 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4174187.5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02-04-15/032/2009-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587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15.01.2010  (Постоянное (бессрочное) пользование);</w:t>
            </w:r>
            <w:r w:rsidRPr="0086514B">
              <w:rPr>
                <w:rFonts w:ascii="Times New Roman" w:hAnsi="Times New Roman" w:cs="Times New Roman"/>
                <w:sz w:val="20"/>
                <w:szCs w:val="20"/>
              </w:rPr>
              <w:br/>
              <w:t>№ 02-04-15/012/2008-530  от 16.04.2008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 5-ти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4207849.54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 "</w:t>
            </w:r>
            <w:proofErr w:type="spell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  <w:proofErr w:type="spell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930005.35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02-04-15/020/2006-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241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19.07.2006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02-04-15/020/2006-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242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19.07.2006  (Аренда)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здания школы № 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12330920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02-04-15/034/2009-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125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 xml:space="preserve"> 07.12.2009  (Постоянное (бессрочное) пользование); </w:t>
            </w:r>
            <w:r w:rsidRPr="0086514B">
              <w:rPr>
                <w:rFonts w:ascii="Times New Roman" w:hAnsi="Times New Roman" w:cs="Times New Roman"/>
                <w:sz w:val="20"/>
                <w:szCs w:val="20"/>
              </w:rPr>
              <w:br/>
              <w:t>№ 02-04-15/012/2008-218  от 28.03.2008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 +/-9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 </w:t>
            </w: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обслуживания </w:t>
            </w: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6835744.68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02-04-15/036/2012-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24.10.2012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02-04-15/036/2012-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255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24.10.2012  (Залог в силу закона)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 +/-13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12933006.45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 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детской стоматологической поликлиники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02-04/115-04/215/008/2015-1388/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17.06.2015  (Постоянное (бессрочное) пользование);</w:t>
            </w:r>
            <w:r w:rsidRPr="0086514B">
              <w:rPr>
                <w:rFonts w:ascii="Times New Roman" w:hAnsi="Times New Roman" w:cs="Times New Roman"/>
                <w:sz w:val="20"/>
                <w:szCs w:val="20"/>
              </w:rPr>
              <w:br/>
              <w:t>№ 02-04-15/012/2008-219  от 28.03.2008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02-04-15/028/2014-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005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29.10.2014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+/-4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1561488.72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02-04-15/022/2007-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769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28.09.2007  (Аренда)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гаражного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65571.48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02:59:070137:23-02/115/2018-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3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12.04.2018  (Общая долевая собственность);</w:t>
            </w:r>
            <w:r w:rsidRPr="0086514B">
              <w:rPr>
                <w:rFonts w:ascii="Times New Roman" w:hAnsi="Times New Roman" w:cs="Times New Roman"/>
                <w:sz w:val="20"/>
                <w:szCs w:val="20"/>
              </w:rPr>
              <w:br/>
              <w:t>№ 02:59:070137:23-02/115/2018-2  от 12.04.2018  (Общая долевая 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 +/-21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здания института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02:59:070137:25-02/115/2017-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2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05.06.2017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260564.32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02-04/115-04/215/008/2015-1376/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251852.07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02-04/115-04/215/008/2015-1377/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252048.03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02-04/115-04/215/008/2015-1383/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248587.6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02-04/115-04/215/008/2015-1382/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252438.57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02-04/115-04/215/008/2015-1379/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02-04/115-04/215/008/2015-1381/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245504.08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02-04/115-04/215/008/2015-1380/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индивидуальных боксов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253026.45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02-04/115-04/215/008/2015-1378/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1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16.06.2015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2266 +/-17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13983871.22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02-04-15/028/2014-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896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01.12.2014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 +/-13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8792904.56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11358898.25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 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12126649.95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02-04-15/028/2014-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900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27.11.2014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 +/-13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8935480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 +/-13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8147430.9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02-04-15/028/2014-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897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01.12.2014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1657 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10364369.3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+/-12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6887298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02-04-15/031/2014-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898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29.12.2014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 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11759761.26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1861 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11615003.47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02-04-15/028/2014-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898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02.12.2014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10804531.56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02-04-15/028/2014-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899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02.12.2014  (Сервитут)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 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10016146.8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02:59:070137:162 (Граница участка многоконтурная. Количество </w:t>
            </w: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контуров -15)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+1-2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газоснабжения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14265.9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02:59:070137:162-02/115/2018-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2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13.09.2018  (Аренда)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02:59:070137:192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 +/-16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12930251.88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02:59:070137:214 (Граница участка многоконтурная. Количество контуров - 3)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</w:t>
            </w:r>
            <w:proofErr w:type="gram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Объекты </w:t>
            </w:r>
            <w:proofErr w:type="spellStart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газообеспечения</w:t>
            </w:r>
            <w:proofErr w:type="spellEnd"/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-газораспределительные станции (ГРС); -газораспределительные пункты (ГРП); -линейные объекты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№ 02-04-15/031/2013-</w:t>
            </w:r>
            <w:proofErr w:type="gramStart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753  от</w:t>
            </w:r>
            <w:proofErr w:type="gramEnd"/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 07.02.2014  (Аренда)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02:59:070137:754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+1-2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02:59:070137:761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 +/-9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86514B" w:rsidRPr="00DB41AE" w:rsidTr="0086514B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02:59:070137:762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 +/-8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14B" w:rsidRPr="0086514B" w:rsidRDefault="0086514B" w:rsidP="00865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B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7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0201D8" w:rsidRDefault="00E37EB7" w:rsidP="00545380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lastRenderedPageBreak/>
        <w:t>Проект межевания</w:t>
      </w:r>
    </w:p>
    <w:p w:rsidR="00FD152A" w:rsidRPr="000201D8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</w:p>
    <w:p w:rsidR="00220B6B" w:rsidRPr="000201D8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32"/>
          <w:szCs w:val="32"/>
          <w:lang w:eastAsia="ru-RU" w:bidi="ru-RU"/>
        </w:rPr>
      </w:pPr>
      <w:bookmarkStart w:id="1" w:name="_Toc525478231"/>
      <w:r w:rsidRPr="000201D8">
        <w:rPr>
          <w:rFonts w:ascii="Times New Roman" w:eastAsia="Times New Roman" w:hAnsi="Times New Roman" w:cs="Times New Roman"/>
          <w:color w:val="auto"/>
          <w:spacing w:val="3"/>
          <w:sz w:val="32"/>
          <w:szCs w:val="32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0201D8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</w:p>
    <w:p w:rsidR="00E37EB7" w:rsidRPr="000201D8" w:rsidRDefault="00E37EB7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0201D8">
        <w:rPr>
          <w:sz w:val="32"/>
          <w:szCs w:val="32"/>
          <w:lang w:eastAsia="ru-RU" w:bidi="ru-RU"/>
        </w:rPr>
        <w:t>в</w:t>
      </w:r>
      <w:r w:rsidRPr="000201D8">
        <w:rPr>
          <w:sz w:val="32"/>
          <w:szCs w:val="32"/>
          <w:lang w:eastAsia="ru-RU" w:bidi="ru-RU"/>
        </w:rPr>
        <w:t xml:space="preserve"> Приложении </w:t>
      </w:r>
      <w:r w:rsidR="00FD152A" w:rsidRPr="000201D8">
        <w:rPr>
          <w:sz w:val="32"/>
          <w:szCs w:val="32"/>
          <w:lang w:eastAsia="ru-RU" w:bidi="ru-RU"/>
        </w:rPr>
        <w:t>Д</w:t>
      </w:r>
      <w:r w:rsidRPr="000201D8">
        <w:rPr>
          <w:sz w:val="32"/>
          <w:szCs w:val="32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>42.13330.201</w:t>
      </w:r>
      <w:r w:rsidR="00FD152A" w:rsidRPr="000201D8">
        <w:rPr>
          <w:sz w:val="32"/>
          <w:szCs w:val="32"/>
          <w:lang w:eastAsia="ru-RU" w:bidi="ru-RU"/>
        </w:rPr>
        <w:t>6</w:t>
      </w:r>
      <w:r w:rsidRPr="000201D8">
        <w:rPr>
          <w:sz w:val="32"/>
          <w:szCs w:val="32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0201D8">
        <w:rPr>
          <w:sz w:val="32"/>
          <w:szCs w:val="32"/>
          <w:lang w:eastAsia="ru-RU" w:bidi="ru-RU"/>
        </w:rPr>
        <w:t>.</w:t>
      </w:r>
      <w:r w:rsidR="00FD152A" w:rsidRPr="000201D8">
        <w:rPr>
          <w:sz w:val="32"/>
          <w:szCs w:val="32"/>
        </w:rPr>
        <w:t xml:space="preserve"> </w:t>
      </w:r>
      <w:r w:rsidR="00FD152A" w:rsidRPr="000201D8">
        <w:rPr>
          <w:sz w:val="32"/>
          <w:szCs w:val="32"/>
          <w:lang w:eastAsia="ru-RU" w:bidi="ru-RU"/>
        </w:rPr>
        <w:t>Актуализированная редакция СНиП 2.07.01-89*</w:t>
      </w:r>
      <w:r w:rsidRPr="000201D8">
        <w:rPr>
          <w:sz w:val="32"/>
          <w:szCs w:val="32"/>
          <w:lang w:eastAsia="ru-RU" w:bidi="ru-RU"/>
        </w:rPr>
        <w:t>».</w:t>
      </w:r>
    </w:p>
    <w:p w:rsidR="00E37EB7" w:rsidRPr="000201D8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32"/>
          <w:szCs w:val="32"/>
        </w:rPr>
      </w:pPr>
    </w:p>
    <w:p w:rsidR="00FD152A" w:rsidRPr="000201D8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Таблица 3.</w:t>
      </w:r>
      <w:r w:rsidR="00FD152A" w:rsidRPr="000201D8">
        <w:rPr>
          <w:sz w:val="32"/>
          <w:szCs w:val="32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0201D8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314027" w:rsidRPr="000201D8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206032" w:rsidRPr="000201D8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5A29CD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</w:t>
            </w:r>
            <w:r w:rsidR="005A29CD">
              <w:rPr>
                <w:rStyle w:val="9pt0pt"/>
                <w:color w:val="auto"/>
                <w:sz w:val="19"/>
                <w:szCs w:val="19"/>
              </w:rPr>
              <w:t>21, ул. Гагарина</w:t>
            </w:r>
            <w:r w:rsidRPr="00206032">
              <w:rPr>
                <w:rStyle w:val="9pt0pt"/>
                <w:color w:val="auto"/>
                <w:sz w:val="19"/>
                <w:szCs w:val="19"/>
              </w:rPr>
              <w:t xml:space="preserve">, </w:t>
            </w:r>
            <w:r w:rsidR="005A29CD">
              <w:rPr>
                <w:rStyle w:val="9pt0pt"/>
                <w:color w:val="auto"/>
                <w:sz w:val="19"/>
                <w:szCs w:val="19"/>
              </w:rPr>
              <w:t>8</w:t>
            </w:r>
            <w:r w:rsidRPr="00206032">
              <w:rPr>
                <w:rStyle w:val="9pt0pt"/>
                <w:color w:val="auto"/>
                <w:sz w:val="19"/>
                <w:szCs w:val="19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157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5A29CD">
              <w:rPr>
                <w:sz w:val="19"/>
                <w:szCs w:val="19"/>
              </w:rPr>
              <w:t>02:59:070137:8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5075,84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5A29CD">
              <w:rPr>
                <w:rStyle w:val="9pt0pt"/>
                <w:color w:val="auto"/>
                <w:sz w:val="19"/>
                <w:szCs w:val="19"/>
              </w:rPr>
              <w:t>5966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F41535" w:rsidRDefault="005A29CD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5075,84</w:t>
            </w:r>
          </w:p>
        </w:tc>
      </w:tr>
      <w:tr w:rsidR="00206032" w:rsidRPr="000201D8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9CD" w:rsidRPr="000201D8" w:rsidRDefault="005A29CD" w:rsidP="005A29CD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МБОУ</w:t>
            </w:r>
          </w:p>
          <w:p w:rsidR="005A29CD" w:rsidRPr="000201D8" w:rsidRDefault="005A29CD" w:rsidP="005A29CD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«СОШ</w:t>
            </w:r>
          </w:p>
          <w:p w:rsidR="00206032" w:rsidRPr="000201D8" w:rsidRDefault="005A29CD" w:rsidP="005A29CD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№1</w:t>
            </w:r>
            <w:r>
              <w:rPr>
                <w:rStyle w:val="9pt0pt"/>
                <w:color w:val="auto"/>
                <w:sz w:val="19"/>
                <w:szCs w:val="19"/>
              </w:rPr>
              <w:t>1</w:t>
            </w:r>
            <w:r w:rsidRPr="000201D8">
              <w:rPr>
                <w:rStyle w:val="9pt0pt"/>
                <w:color w:val="auto"/>
                <w:sz w:val="19"/>
                <w:szCs w:val="19"/>
              </w:rPr>
              <w:t>»</w:t>
            </w:r>
            <w:r>
              <w:rPr>
                <w:rStyle w:val="9pt0pt"/>
                <w:color w:val="auto"/>
                <w:sz w:val="19"/>
                <w:szCs w:val="19"/>
              </w:rPr>
              <w:t>, переулок Школьный,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492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5A29CD">
              <w:rPr>
                <w:sz w:val="19"/>
                <w:szCs w:val="19"/>
              </w:rPr>
              <w:t>02:59:070137:12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5A29CD">
              <w:rPr>
                <w:sz w:val="19"/>
                <w:szCs w:val="19"/>
              </w:rPr>
              <w:t>14992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5A29C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5A29CD">
              <w:rPr>
                <w:rStyle w:val="9pt0pt"/>
                <w:color w:val="auto"/>
                <w:sz w:val="19"/>
                <w:szCs w:val="19"/>
              </w:rPr>
              <w:t>31980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F41535" w:rsidRDefault="005A29CD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14546,52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0201D8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t>Методика расчета размера</w:t>
      </w:r>
      <w:r w:rsidR="00D60F25" w:rsidRPr="000201D8">
        <w:rPr>
          <w:b w:val="0"/>
          <w:sz w:val="32"/>
          <w:szCs w:val="32"/>
          <w:lang w:eastAsia="ru-RU" w:bidi="ru-RU"/>
        </w:rPr>
        <w:t xml:space="preserve"> </w:t>
      </w:r>
      <w:r w:rsidRPr="000201D8">
        <w:rPr>
          <w:b w:val="0"/>
          <w:sz w:val="32"/>
          <w:szCs w:val="32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32"/>
          <w:szCs w:val="32"/>
          <w:lang w:eastAsia="ru-RU" w:bidi="ru-RU"/>
        </w:rPr>
      </w:pPr>
    </w:p>
    <w:p w:rsidR="008A7A47" w:rsidRPr="000201D8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>42.13330.2016 «Градостроительство. Планировка и застройка городских и сельских поселений», действующими региональным нормативам градостроительного проектирования Республики Башкортостан, действующими нормативам градостроительного проектирования городского округа города Салават Республики Башкортостан.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основывается на показателях минимально допустимой </w:t>
      </w:r>
      <w:r w:rsidRPr="000201D8">
        <w:rPr>
          <w:sz w:val="32"/>
          <w:szCs w:val="32"/>
          <w:lang w:eastAsia="ru-RU" w:bidi="ru-RU"/>
        </w:rPr>
        <w:lastRenderedPageBreak/>
        <w:t xml:space="preserve">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4526B3" w:rsidRDefault="00520170" w:rsidP="00520170">
      <w:pPr>
        <w:pStyle w:val="11"/>
        <w:spacing w:before="0" w:after="0" w:line="240" w:lineRule="auto"/>
        <w:ind w:right="23" w:firstLine="425"/>
        <w:rPr>
          <w:b/>
          <w:sz w:val="32"/>
          <w:szCs w:val="32"/>
          <w:lang w:eastAsia="ru-RU" w:bidi="ru-RU"/>
        </w:rPr>
      </w:pPr>
      <w:r w:rsidRPr="004526B3">
        <w:rPr>
          <w:b/>
          <w:sz w:val="32"/>
          <w:szCs w:val="32"/>
          <w:lang w:eastAsia="ru-RU" w:bidi="ru-RU"/>
        </w:rPr>
        <w:t>Данные для расчета:</w:t>
      </w:r>
    </w:p>
    <w:p w:rsidR="00520170" w:rsidRPr="004526B3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4526B3">
        <w:rPr>
          <w:sz w:val="32"/>
          <w:szCs w:val="32"/>
          <w:lang w:eastAsia="ru-RU" w:bidi="ru-RU"/>
        </w:rPr>
        <w:t xml:space="preserve">S квартала – </w:t>
      </w:r>
      <w:r w:rsidR="00F21BFE" w:rsidRPr="004526B3">
        <w:rPr>
          <w:sz w:val="32"/>
          <w:szCs w:val="32"/>
          <w:lang w:eastAsia="ru-RU" w:bidi="ru-RU"/>
        </w:rPr>
        <w:t>92300</w:t>
      </w:r>
      <w:r w:rsidRPr="004526B3">
        <w:rPr>
          <w:sz w:val="32"/>
          <w:szCs w:val="32"/>
          <w:lang w:eastAsia="ru-RU" w:bidi="ru-RU"/>
        </w:rPr>
        <w:t xml:space="preserve"> м</w:t>
      </w:r>
      <w:r w:rsidRPr="004526B3">
        <w:rPr>
          <w:sz w:val="32"/>
          <w:szCs w:val="32"/>
          <w:vertAlign w:val="superscript"/>
          <w:lang w:eastAsia="ru-RU" w:bidi="ru-RU"/>
        </w:rPr>
        <w:t>2</w:t>
      </w:r>
      <w:r w:rsidRPr="004526B3">
        <w:rPr>
          <w:sz w:val="32"/>
          <w:szCs w:val="32"/>
          <w:lang w:eastAsia="ru-RU" w:bidi="ru-RU"/>
        </w:rPr>
        <w:t>.</w:t>
      </w:r>
    </w:p>
    <w:p w:rsidR="00520170" w:rsidRPr="004526B3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4526B3">
        <w:rPr>
          <w:sz w:val="32"/>
          <w:szCs w:val="32"/>
          <w:lang w:eastAsia="ru-RU" w:bidi="ru-RU"/>
        </w:rPr>
        <w:t>S участков под объекты не жилого назначения –</w:t>
      </w:r>
      <w:r w:rsidR="004526B3" w:rsidRPr="004526B3">
        <w:rPr>
          <w:sz w:val="32"/>
          <w:szCs w:val="32"/>
          <w:lang w:eastAsia="ru-RU" w:bidi="ru-RU"/>
        </w:rPr>
        <w:t xml:space="preserve"> 45818,52</w:t>
      </w:r>
      <w:r w:rsidR="002212C6" w:rsidRPr="004526B3">
        <w:rPr>
          <w:sz w:val="32"/>
          <w:szCs w:val="32"/>
          <w:lang w:eastAsia="ru-RU" w:bidi="ru-RU"/>
        </w:rPr>
        <w:t xml:space="preserve"> </w:t>
      </w:r>
      <w:r w:rsidR="00597518" w:rsidRPr="004526B3">
        <w:rPr>
          <w:sz w:val="32"/>
          <w:szCs w:val="32"/>
          <w:lang w:eastAsia="ru-RU" w:bidi="ru-RU"/>
        </w:rPr>
        <w:t>м</w:t>
      </w:r>
      <w:r w:rsidR="00597518" w:rsidRPr="004526B3">
        <w:rPr>
          <w:sz w:val="32"/>
          <w:szCs w:val="32"/>
          <w:vertAlign w:val="superscript"/>
          <w:lang w:eastAsia="ru-RU" w:bidi="ru-RU"/>
        </w:rPr>
        <w:t>2</w:t>
      </w:r>
      <w:r w:rsidR="00597518" w:rsidRPr="004526B3">
        <w:rPr>
          <w:sz w:val="32"/>
          <w:szCs w:val="32"/>
          <w:lang w:eastAsia="ru-RU" w:bidi="ru-RU"/>
        </w:rPr>
        <w:t>.</w:t>
      </w:r>
    </w:p>
    <w:p w:rsidR="00520170" w:rsidRPr="004526B3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4526B3">
        <w:rPr>
          <w:sz w:val="32"/>
          <w:szCs w:val="32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4526B3">
        <w:rPr>
          <w:sz w:val="32"/>
          <w:szCs w:val="32"/>
          <w:lang w:eastAsia="ru-RU" w:bidi="ru-RU"/>
        </w:rPr>
        <w:t>–</w:t>
      </w:r>
      <w:r w:rsidRPr="004526B3">
        <w:rPr>
          <w:sz w:val="32"/>
          <w:szCs w:val="32"/>
          <w:lang w:eastAsia="ru-RU" w:bidi="ru-RU"/>
        </w:rPr>
        <w:t xml:space="preserve"> </w:t>
      </w:r>
      <w:r w:rsidR="004526B3" w:rsidRPr="004526B3">
        <w:rPr>
          <w:sz w:val="32"/>
          <w:szCs w:val="32"/>
          <w:lang w:eastAsia="ru-RU" w:bidi="ru-RU"/>
        </w:rPr>
        <w:t>46481,48</w:t>
      </w:r>
      <w:r w:rsidR="003925FC" w:rsidRPr="004526B3">
        <w:rPr>
          <w:sz w:val="32"/>
          <w:szCs w:val="32"/>
          <w:lang w:eastAsia="ru-RU" w:bidi="ru-RU"/>
        </w:rPr>
        <w:t xml:space="preserve"> </w:t>
      </w:r>
      <w:r w:rsidR="00597518" w:rsidRPr="004526B3">
        <w:rPr>
          <w:sz w:val="32"/>
          <w:szCs w:val="32"/>
          <w:lang w:eastAsia="ru-RU" w:bidi="ru-RU"/>
        </w:rPr>
        <w:t>м</w:t>
      </w:r>
      <w:r w:rsidR="00597518" w:rsidRPr="004526B3">
        <w:rPr>
          <w:sz w:val="32"/>
          <w:szCs w:val="32"/>
          <w:vertAlign w:val="superscript"/>
          <w:lang w:eastAsia="ru-RU" w:bidi="ru-RU"/>
        </w:rPr>
        <w:t>2</w:t>
      </w:r>
      <w:r w:rsidR="00597518" w:rsidRPr="004526B3">
        <w:rPr>
          <w:sz w:val="32"/>
          <w:szCs w:val="32"/>
          <w:lang w:eastAsia="ru-RU" w:bidi="ru-RU"/>
        </w:rPr>
        <w:t>.</w:t>
      </w:r>
    </w:p>
    <w:p w:rsidR="00520170" w:rsidRPr="004526B3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4526B3">
        <w:rPr>
          <w:sz w:val="32"/>
          <w:szCs w:val="32"/>
          <w:lang w:eastAsia="ru-RU" w:bidi="ru-RU"/>
        </w:rPr>
        <w:t xml:space="preserve">S жилой застройки </w:t>
      </w:r>
      <w:r w:rsidR="003925FC" w:rsidRPr="004526B3">
        <w:rPr>
          <w:sz w:val="32"/>
          <w:szCs w:val="32"/>
          <w:lang w:eastAsia="ru-RU" w:bidi="ru-RU"/>
        </w:rPr>
        <w:t>–</w:t>
      </w:r>
      <w:r w:rsidRPr="004526B3">
        <w:rPr>
          <w:sz w:val="32"/>
          <w:szCs w:val="32"/>
          <w:lang w:eastAsia="ru-RU" w:bidi="ru-RU"/>
        </w:rPr>
        <w:t xml:space="preserve"> </w:t>
      </w:r>
      <w:r w:rsidR="00F21BFE" w:rsidRPr="004526B3">
        <w:rPr>
          <w:sz w:val="32"/>
          <w:szCs w:val="32"/>
          <w:lang w:eastAsia="ru-RU" w:bidi="ru-RU"/>
        </w:rPr>
        <w:t>11786,94</w:t>
      </w:r>
      <w:r w:rsidR="004730BC" w:rsidRPr="004526B3">
        <w:rPr>
          <w:sz w:val="32"/>
          <w:szCs w:val="32"/>
          <w:lang w:eastAsia="ru-RU" w:bidi="ru-RU"/>
        </w:rPr>
        <w:t xml:space="preserve"> м</w:t>
      </w:r>
      <w:r w:rsidR="004730BC" w:rsidRPr="004526B3">
        <w:rPr>
          <w:sz w:val="32"/>
          <w:szCs w:val="32"/>
          <w:vertAlign w:val="superscript"/>
          <w:lang w:eastAsia="ru-RU" w:bidi="ru-RU"/>
        </w:rPr>
        <w:t>2</w:t>
      </w:r>
      <w:r w:rsidR="004730BC" w:rsidRPr="004526B3">
        <w:rPr>
          <w:sz w:val="32"/>
          <w:szCs w:val="32"/>
          <w:lang w:eastAsia="ru-RU" w:bidi="ru-RU"/>
        </w:rPr>
        <w:t>.</w:t>
      </w:r>
    </w:p>
    <w:p w:rsidR="00520170" w:rsidRPr="000201D8" w:rsidRDefault="00520170" w:rsidP="004730BC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Нормативные показатели на 1 человека: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Озеленение - 6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игр детей - 0,7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отдыха взрослого населения - 0,1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Физкультурно-спортивные площадки - 1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Хозяйственные площадки - 0,06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выгула собак - 0,1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На каждую квартиру принимается 1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 xml:space="preserve">-место площадью </w:t>
      </w:r>
      <w:r w:rsidR="00D60F25" w:rsidRPr="000201D8">
        <w:rPr>
          <w:sz w:val="32"/>
          <w:szCs w:val="32"/>
          <w:lang w:eastAsia="ru-RU" w:bidi="ru-RU"/>
        </w:rPr>
        <w:t>25</w:t>
      </w:r>
      <w:r w:rsidRPr="000201D8">
        <w:rPr>
          <w:sz w:val="32"/>
          <w:szCs w:val="32"/>
          <w:lang w:eastAsia="ru-RU" w:bidi="ru-RU"/>
        </w:rPr>
        <w:t xml:space="preserve">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  <w:r w:rsidRPr="000201D8">
        <w:rPr>
          <w:sz w:val="32"/>
          <w:szCs w:val="32"/>
          <w:lang w:eastAsia="ru-RU" w:bidi="ru-RU"/>
        </w:rPr>
        <w:t xml:space="preserve"> с учетом проездов.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1.</w:t>
      </w:r>
      <w:r w:rsidRPr="000201D8">
        <w:rPr>
          <w:sz w:val="32"/>
          <w:szCs w:val="32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0201D8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lastRenderedPageBreak/>
        <w:t>2.</w:t>
      </w:r>
      <w:r w:rsidRPr="000201D8">
        <w:rPr>
          <w:sz w:val="32"/>
          <w:szCs w:val="32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8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150" w:type="dxa"/>
        <w:jc w:val="center"/>
        <w:tblLook w:val="04A0" w:firstRow="1" w:lastRow="0" w:firstColumn="1" w:lastColumn="0" w:noHBand="0" w:noVBand="1"/>
      </w:tblPr>
      <w:tblGrid>
        <w:gridCol w:w="134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2"/>
      </w:tblGrid>
      <w:tr w:rsidR="00A400DC" w:rsidRPr="00E572C3" w:rsidTr="00F3074C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  <w:proofErr w:type="gram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</w:t>
            </w:r>
            <w:proofErr w:type="spell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E572C3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67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2/ Гагарина 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3001,35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3222,25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3356,71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14/ Школьный переулок 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3013,03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переулок 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3213,1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переулок 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переулок 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4167,45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4275,71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3188,42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3320,02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пр-т Нефтяников 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4361,8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3070,39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4076,82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4050,84</w:t>
            </w:r>
          </w:p>
        </w:tc>
      </w:tr>
      <w:tr w:rsidR="007E6FB1" w:rsidRPr="00E572C3" w:rsidTr="007E6FB1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6а</w:t>
            </w:r>
            <w:proofErr w:type="gramStart"/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 пр</w:t>
            </w:r>
            <w:proofErr w:type="gramEnd"/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 Нефтяников 4а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FB1" w:rsidRPr="007E6FB1" w:rsidRDefault="007E6FB1" w:rsidP="007E6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812,37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3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530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9"/>
        <w:gridCol w:w="3511"/>
        <w:gridCol w:w="1188"/>
        <w:gridCol w:w="812"/>
        <w:gridCol w:w="863"/>
        <w:gridCol w:w="663"/>
        <w:gridCol w:w="910"/>
        <w:gridCol w:w="959"/>
        <w:gridCol w:w="959"/>
        <w:gridCol w:w="797"/>
        <w:gridCol w:w="1144"/>
        <w:gridCol w:w="966"/>
      </w:tblGrid>
      <w:tr w:rsidR="00681696" w:rsidRPr="00681696" w:rsidTr="007E6FB1">
        <w:trPr>
          <w:trHeight w:val="1920"/>
          <w:tblHeader/>
        </w:trPr>
        <w:tc>
          <w:tcPr>
            <w:tcW w:w="2529" w:type="dxa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966" w:type="dxa"/>
            <w:vAlign w:val="center"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681696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681696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vAlign w:val="center"/>
          </w:tcPr>
          <w:p w:rsidR="00C875B2" w:rsidRPr="00681696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2/ Гагарина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2241,67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2314,04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2322,90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14/ Школьный переулок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2174,64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переулок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1398,31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переулок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1349,57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переулок 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3041,50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3165,41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2636,7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2374,51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2323,43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3185,01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2314,02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3134,94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3050,26</w:t>
            </w:r>
          </w:p>
        </w:tc>
      </w:tr>
      <w:tr w:rsidR="004526B3" w:rsidRPr="00681696" w:rsidTr="007E6FB1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526B3" w:rsidRPr="00681696" w:rsidRDefault="004526B3" w:rsidP="004526B3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6а</w:t>
            </w:r>
            <w:proofErr w:type="gramStart"/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 пр</w:t>
            </w:r>
            <w:proofErr w:type="gramEnd"/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 Нефтяников 4а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7E6FB1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966" w:type="dxa"/>
            <w:vAlign w:val="center"/>
          </w:tcPr>
          <w:p w:rsidR="004526B3" w:rsidRPr="004526B3" w:rsidRDefault="004526B3" w:rsidP="004526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494,59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4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968"/>
        <w:gridCol w:w="1418"/>
        <w:gridCol w:w="1099"/>
      </w:tblGrid>
      <w:tr w:rsidR="000B1EBD" w:rsidRPr="000B1EBD" w:rsidTr="003009D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0B1EBD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0B1EBD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0B1EBD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0B1EBD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0B1EBD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0B1EBD" w:rsidRDefault="00397F47" w:rsidP="008265A3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проектная, м</w:t>
            </w:r>
            <w:r w:rsidRPr="000B1EB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0B1EB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2574,58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Детская стоматологическая поликлиника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841,61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3048,7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Салаватнефтехимпроект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, проектный институт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3987,21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3620,83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1160,24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2609,75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0B1EB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3101,11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3919,44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№21 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5075,84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4185,94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3741,54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71,61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  <w:bookmarkStart w:id="5" w:name="_GoBack"/>
            <w:bookmarkEnd w:id="5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70,22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69,43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69,27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69,32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МБОУ СОШ №11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14546,52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3555,74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18,37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3389,64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Салаватгазонефтехимпроект</w:t>
            </w:r>
            <w:proofErr w:type="spellEnd"/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4170,62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3236,69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2641,82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2515,21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1334,68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</w:t>
            </w:r>
            <w:proofErr w:type="spellStart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2826,49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56,23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5924,7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2304,25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 xml:space="preserve">Улично-дорожная </w:t>
            </w:r>
            <w:r w:rsidRPr="000B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Земельные участки (территории) общего </w:t>
            </w:r>
            <w:r w:rsidRPr="000B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12.0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1829,84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3890,72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67,58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55,74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02:59:070137:214(1)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02:59:070137:214(2)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02:59:070137:214(3)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02:59:070137:162(2)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02:59:070137:162(3)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02:59:070137:162(4)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02:59:070137:162(5)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02:59:070137:162(6)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02:59:070137:162(7)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02:59:070137:162(8)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02:59:070137:162(9)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02:59:070137:162(10)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02:59:070137:162(11)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02:59:070137:162(12)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02:59:070137:162(13)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02:59:070137:162(14)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</w:tr>
      <w:tr w:rsidR="000B1EBD" w:rsidRPr="000B1EBD" w:rsidTr="003009DC">
        <w:trPr>
          <w:trHeight w:val="284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02:59:070137:162(15)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9DC" w:rsidRPr="000B1EBD" w:rsidRDefault="003009DC" w:rsidP="003009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B690D" w:rsidRPr="000201D8" w:rsidRDefault="002B690D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2B690D" w:rsidRPr="000201D8" w:rsidSect="002B690D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6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Установление красных линий</w:t>
      </w:r>
      <w:bookmarkEnd w:id="6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C042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br w:type="page"/>
      </w: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lastRenderedPageBreak/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0B1EBD" w:rsidRPr="000B1EBD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B1EBD" w:rsidRPr="000B1EBD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0B1EBD" w:rsidRDefault="000B1EBD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13852,18</w:t>
            </w:r>
          </w:p>
        </w:tc>
      </w:tr>
      <w:tr w:rsidR="000B1EBD" w:rsidRPr="000B1EBD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0B1EBD" w:rsidRDefault="000B1EBD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64364,53</w:t>
            </w:r>
          </w:p>
        </w:tc>
      </w:tr>
      <w:tr w:rsidR="000B1EBD" w:rsidRPr="000B1EBD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BD" w:rsidRPr="000B1EBD" w:rsidRDefault="000B1EBD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BD" w:rsidRPr="000B1EBD" w:rsidRDefault="000B1EBD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Образуемые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EBD" w:rsidRPr="000B1EBD" w:rsidRDefault="000B1EBD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14129,06</w:t>
            </w:r>
          </w:p>
        </w:tc>
      </w:tr>
      <w:tr w:rsidR="000B1EBD" w:rsidRPr="000B1EBD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B1EBD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0B1EBD" w:rsidRDefault="000B1EBD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BD">
              <w:rPr>
                <w:rFonts w:ascii="Times New Roman" w:hAnsi="Times New Roman" w:cs="Times New Roman"/>
                <w:sz w:val="28"/>
                <w:szCs w:val="28"/>
              </w:rPr>
              <w:t>92345,77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81" w:rsidRDefault="00165B81" w:rsidP="00336FF6">
      <w:pPr>
        <w:spacing w:after="0" w:line="240" w:lineRule="auto"/>
      </w:pPr>
      <w:r>
        <w:separator/>
      </w:r>
    </w:p>
  </w:endnote>
  <w:endnote w:type="continuationSeparator" w:id="0">
    <w:p w:rsidR="00165B81" w:rsidRDefault="00165B81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81" w:rsidRDefault="00165B81" w:rsidP="00336FF6">
      <w:pPr>
        <w:spacing w:after="0" w:line="240" w:lineRule="auto"/>
      </w:pPr>
      <w:r>
        <w:separator/>
      </w:r>
    </w:p>
  </w:footnote>
  <w:footnote w:type="continuationSeparator" w:id="0">
    <w:p w:rsidR="00165B81" w:rsidRDefault="00165B81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BD" w:rsidRDefault="000B1E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BD" w:rsidRDefault="000B1E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32DA9"/>
    <w:rsid w:val="000559DB"/>
    <w:rsid w:val="000B1EBD"/>
    <w:rsid w:val="000B4F87"/>
    <w:rsid w:val="000C477C"/>
    <w:rsid w:val="000E5B7F"/>
    <w:rsid w:val="000E5EC4"/>
    <w:rsid w:val="000F028F"/>
    <w:rsid w:val="00104015"/>
    <w:rsid w:val="0016305A"/>
    <w:rsid w:val="00165B81"/>
    <w:rsid w:val="00182007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A435E"/>
    <w:rsid w:val="002B690D"/>
    <w:rsid w:val="003009DC"/>
    <w:rsid w:val="00314027"/>
    <w:rsid w:val="00326D4F"/>
    <w:rsid w:val="00336FF6"/>
    <w:rsid w:val="003419C1"/>
    <w:rsid w:val="003535EF"/>
    <w:rsid w:val="003925CC"/>
    <w:rsid w:val="003925FC"/>
    <w:rsid w:val="00397F47"/>
    <w:rsid w:val="003D3825"/>
    <w:rsid w:val="003D3929"/>
    <w:rsid w:val="004169D5"/>
    <w:rsid w:val="004526B3"/>
    <w:rsid w:val="00463A4F"/>
    <w:rsid w:val="00464800"/>
    <w:rsid w:val="004711ED"/>
    <w:rsid w:val="004730BC"/>
    <w:rsid w:val="004974D3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A29CD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7429"/>
    <w:rsid w:val="0077083C"/>
    <w:rsid w:val="00773DC1"/>
    <w:rsid w:val="007748A8"/>
    <w:rsid w:val="007C4EEF"/>
    <w:rsid w:val="007E6FB1"/>
    <w:rsid w:val="007F3914"/>
    <w:rsid w:val="0081525B"/>
    <w:rsid w:val="008265A3"/>
    <w:rsid w:val="0086514B"/>
    <w:rsid w:val="008A7A47"/>
    <w:rsid w:val="0093656E"/>
    <w:rsid w:val="00962CC6"/>
    <w:rsid w:val="009C6D9E"/>
    <w:rsid w:val="009D0BF5"/>
    <w:rsid w:val="00A0507B"/>
    <w:rsid w:val="00A0516D"/>
    <w:rsid w:val="00A37BEA"/>
    <w:rsid w:val="00A400DC"/>
    <w:rsid w:val="00A6404D"/>
    <w:rsid w:val="00AC212A"/>
    <w:rsid w:val="00AE69B3"/>
    <w:rsid w:val="00B53365"/>
    <w:rsid w:val="00C0429F"/>
    <w:rsid w:val="00C47C5F"/>
    <w:rsid w:val="00C875B2"/>
    <w:rsid w:val="00C9453E"/>
    <w:rsid w:val="00CE5C48"/>
    <w:rsid w:val="00CF4BAD"/>
    <w:rsid w:val="00D01127"/>
    <w:rsid w:val="00D267DA"/>
    <w:rsid w:val="00D60F25"/>
    <w:rsid w:val="00D65B05"/>
    <w:rsid w:val="00DB1411"/>
    <w:rsid w:val="00DB1C3F"/>
    <w:rsid w:val="00DB41AE"/>
    <w:rsid w:val="00DB4CD3"/>
    <w:rsid w:val="00E37EB7"/>
    <w:rsid w:val="00E51F77"/>
    <w:rsid w:val="00E572C3"/>
    <w:rsid w:val="00F21BFE"/>
    <w:rsid w:val="00F3074C"/>
    <w:rsid w:val="00F41535"/>
    <w:rsid w:val="00F5300C"/>
    <w:rsid w:val="00FC4FE2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6E1E0-98C9-4A48-98B0-264AE46A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19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Zhenya</cp:lastModifiedBy>
  <cp:revision>69</cp:revision>
  <dcterms:created xsi:type="dcterms:W3CDTF">2018-09-24T11:48:00Z</dcterms:created>
  <dcterms:modified xsi:type="dcterms:W3CDTF">2018-10-30T07:17:00Z</dcterms:modified>
</cp:coreProperties>
</file>