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Default="003D3ED2" w:rsidP="003D3ED2">
      <w:pPr>
        <w:pStyle w:val="a3"/>
        <w:spacing w:before="0" w:beforeAutospacing="0" w:after="0" w:afterAutospacing="0" w:line="256" w:lineRule="auto"/>
        <w:textAlignment w:val="baseline"/>
      </w:pPr>
      <w:r>
        <w:rPr>
          <w:rFonts w:eastAsia="Calibri"/>
          <w:color w:val="000000"/>
          <w:kern w:val="24"/>
          <w:sz w:val="28"/>
          <w:szCs w:val="28"/>
        </w:rPr>
        <w:t xml:space="preserve">                                                             </w:t>
      </w:r>
      <w:r>
        <w:rPr>
          <w:rFonts w:eastAsia="Calibri"/>
          <w:color w:val="000000"/>
          <w:kern w:val="24"/>
          <w:sz w:val="28"/>
          <w:szCs w:val="28"/>
        </w:rPr>
        <w:t xml:space="preserve">Приложение к решению </w:t>
      </w:r>
    </w:p>
    <w:p w:rsidR="003D3ED2" w:rsidRDefault="003D3ED2" w:rsidP="003D3ED2">
      <w:pPr>
        <w:pStyle w:val="a3"/>
        <w:spacing w:before="0" w:beforeAutospacing="0" w:after="0" w:afterAutospacing="0" w:line="256" w:lineRule="auto"/>
        <w:ind w:left="4248"/>
        <w:textAlignment w:val="baseline"/>
      </w:pPr>
      <w:r>
        <w:rPr>
          <w:rFonts w:eastAsia="Calibri"/>
          <w:color w:val="000000"/>
          <w:kern w:val="24"/>
          <w:sz w:val="28"/>
          <w:szCs w:val="28"/>
        </w:rPr>
        <w:t xml:space="preserve">Совета городского округа город Салават Республики Башкортостан </w:t>
      </w:r>
    </w:p>
    <w:p w:rsidR="003D3ED2" w:rsidRDefault="003D3ED2" w:rsidP="003D3ED2">
      <w:pPr>
        <w:pStyle w:val="a3"/>
        <w:spacing w:before="0" w:beforeAutospacing="0" w:after="0" w:afterAutospacing="0" w:line="256" w:lineRule="auto"/>
        <w:ind w:left="4248"/>
        <w:textAlignment w:val="baseline"/>
      </w:pPr>
      <w:r>
        <w:rPr>
          <w:rFonts w:eastAsia="Calibri"/>
          <w:color w:val="000000"/>
          <w:kern w:val="24"/>
          <w:sz w:val="28"/>
          <w:szCs w:val="28"/>
        </w:rPr>
        <w:t>от «__» _________ 2021 года № ______</w:t>
      </w:r>
    </w:p>
    <w:p w:rsidR="003D3ED2" w:rsidRDefault="003D3ED2" w:rsidP="003D3ED2">
      <w:pPr>
        <w:pStyle w:val="a3"/>
        <w:spacing w:before="0" w:beforeAutospacing="0" w:after="0" w:afterAutospacing="0" w:line="256" w:lineRule="auto"/>
        <w:textAlignment w:val="baseline"/>
      </w:pPr>
      <w:r>
        <w:rPr>
          <w:rFonts w:eastAsia="Calibri"/>
          <w:color w:val="000000"/>
          <w:kern w:val="24"/>
          <w:sz w:val="28"/>
          <w:szCs w:val="28"/>
        </w:rPr>
        <w:t> </w:t>
      </w:r>
    </w:p>
    <w:p w:rsidR="003D3ED2" w:rsidRDefault="003D3ED2" w:rsidP="003D3ED2">
      <w:pPr>
        <w:pStyle w:val="a3"/>
        <w:spacing w:before="0" w:beforeAutospacing="0" w:after="0" w:afterAutospacing="0" w:line="256" w:lineRule="auto"/>
        <w:jc w:val="center"/>
        <w:textAlignment w:val="baseline"/>
        <w:rPr>
          <w:rFonts w:eastAsia="Calibri"/>
          <w:b/>
          <w:bCs/>
          <w:color w:val="000000"/>
          <w:kern w:val="24"/>
          <w:sz w:val="28"/>
          <w:szCs w:val="28"/>
        </w:rPr>
      </w:pPr>
      <w:r>
        <w:rPr>
          <w:rFonts w:eastAsia="Calibri"/>
          <w:b/>
          <w:bCs/>
          <w:color w:val="000000"/>
          <w:kern w:val="24"/>
          <w:sz w:val="28"/>
          <w:szCs w:val="28"/>
        </w:rPr>
        <w:t xml:space="preserve">  </w:t>
      </w:r>
      <w:r>
        <w:rPr>
          <w:rFonts w:eastAsia="Calibri"/>
          <w:b/>
          <w:bCs/>
          <w:color w:val="000000"/>
          <w:kern w:val="24"/>
          <w:sz w:val="28"/>
          <w:szCs w:val="28"/>
        </w:rPr>
        <w:t xml:space="preserve">Об итогах профилактической работы Комиссии по делам </w:t>
      </w:r>
      <w:r>
        <w:rPr>
          <w:rFonts w:eastAsia="Calibri"/>
          <w:b/>
          <w:bCs/>
          <w:color w:val="000000"/>
          <w:kern w:val="24"/>
          <w:sz w:val="28"/>
          <w:szCs w:val="28"/>
        </w:rPr>
        <w:t xml:space="preserve">  </w:t>
      </w:r>
    </w:p>
    <w:p w:rsidR="003D3ED2" w:rsidRDefault="003D3ED2" w:rsidP="003D3ED2">
      <w:pPr>
        <w:pStyle w:val="a3"/>
        <w:spacing w:before="0" w:beforeAutospacing="0" w:after="0" w:afterAutospacing="0" w:line="256" w:lineRule="auto"/>
        <w:jc w:val="center"/>
        <w:textAlignment w:val="baseline"/>
        <w:rPr>
          <w:rFonts w:eastAsia="Calibri"/>
          <w:b/>
          <w:bCs/>
          <w:color w:val="000000"/>
          <w:kern w:val="24"/>
          <w:sz w:val="28"/>
          <w:szCs w:val="28"/>
        </w:rPr>
      </w:pPr>
      <w:r>
        <w:rPr>
          <w:rFonts w:eastAsia="Calibri"/>
          <w:b/>
          <w:bCs/>
          <w:color w:val="000000"/>
          <w:kern w:val="24"/>
          <w:sz w:val="28"/>
          <w:szCs w:val="28"/>
        </w:rPr>
        <w:t xml:space="preserve">       </w:t>
      </w:r>
      <w:r>
        <w:rPr>
          <w:rFonts w:eastAsia="Calibri"/>
          <w:b/>
          <w:bCs/>
          <w:color w:val="000000"/>
          <w:kern w:val="24"/>
          <w:sz w:val="28"/>
          <w:szCs w:val="28"/>
        </w:rPr>
        <w:t xml:space="preserve">несовершеннолетних и защите их прав по предупреждению </w:t>
      </w:r>
    </w:p>
    <w:p w:rsidR="003D3ED2" w:rsidRDefault="003D3ED2" w:rsidP="003D3ED2">
      <w:pPr>
        <w:pStyle w:val="a3"/>
        <w:spacing w:before="0" w:beforeAutospacing="0" w:after="0" w:afterAutospacing="0" w:line="256" w:lineRule="auto"/>
        <w:jc w:val="center"/>
        <w:textAlignment w:val="baseline"/>
      </w:pPr>
      <w:r>
        <w:rPr>
          <w:rFonts w:eastAsia="Calibri"/>
          <w:b/>
          <w:bCs/>
          <w:color w:val="000000"/>
          <w:kern w:val="24"/>
          <w:sz w:val="28"/>
          <w:szCs w:val="28"/>
        </w:rPr>
        <w:t xml:space="preserve">        </w:t>
      </w:r>
      <w:r>
        <w:rPr>
          <w:rFonts w:eastAsia="Calibri"/>
          <w:b/>
          <w:bCs/>
          <w:color w:val="000000"/>
          <w:kern w:val="24"/>
          <w:sz w:val="28"/>
          <w:szCs w:val="28"/>
        </w:rPr>
        <w:t xml:space="preserve">правонарушений, совершаемых несовершеннолетними и в отношении них, на территории городского округа город Салават </w:t>
      </w:r>
    </w:p>
    <w:p w:rsidR="003D3ED2" w:rsidRDefault="003D3ED2" w:rsidP="003D3ED2">
      <w:pPr>
        <w:pStyle w:val="a3"/>
        <w:spacing w:before="0" w:beforeAutospacing="0" w:after="0" w:afterAutospacing="0" w:line="256" w:lineRule="auto"/>
        <w:jc w:val="center"/>
        <w:textAlignment w:val="baseline"/>
      </w:pPr>
      <w:r>
        <w:rPr>
          <w:rFonts w:eastAsia="Calibri"/>
          <w:b/>
          <w:bCs/>
          <w:color w:val="000000"/>
          <w:kern w:val="24"/>
          <w:sz w:val="28"/>
          <w:szCs w:val="28"/>
        </w:rPr>
        <w:t>Республики Башкортостан за 2020 год</w:t>
      </w:r>
    </w:p>
    <w:p w:rsidR="003D3ED2" w:rsidRDefault="003D3ED2" w:rsidP="003D3ED2">
      <w:pPr>
        <w:pStyle w:val="a3"/>
        <w:spacing w:before="0" w:beforeAutospacing="0" w:after="0" w:afterAutospacing="0" w:line="256" w:lineRule="auto"/>
        <w:textAlignment w:val="baseline"/>
      </w:pPr>
      <w:r>
        <w:rPr>
          <w:rFonts w:eastAsia="Calibri"/>
          <w:color w:val="000000"/>
          <w:kern w:val="24"/>
          <w:sz w:val="28"/>
          <w:szCs w:val="28"/>
        </w:rPr>
        <w:t> </w:t>
      </w:r>
    </w:p>
    <w:p w:rsidR="003D3ED2" w:rsidRDefault="003D3ED2" w:rsidP="003D3ED2">
      <w:pPr>
        <w:pStyle w:val="a3"/>
        <w:kinsoku w:val="0"/>
        <w:overflowPunct w:val="0"/>
        <w:spacing w:before="0" w:beforeAutospacing="0" w:after="0" w:afterAutospacing="0"/>
        <w:ind w:left="533"/>
        <w:jc w:val="both"/>
        <w:textAlignment w:val="baseline"/>
      </w:pPr>
      <w:r>
        <w:rPr>
          <w:rFonts w:eastAsia="+mn-ea" w:cs="Calibri"/>
          <w:color w:val="000000"/>
          <w:kern w:val="24"/>
          <w:sz w:val="28"/>
          <w:szCs w:val="28"/>
        </w:rPr>
        <w:t xml:space="preserve">              </w:t>
      </w:r>
      <w:r>
        <w:rPr>
          <w:rFonts w:eastAsia="+mn-ea" w:cs="Calibri"/>
          <w:color w:val="000000"/>
          <w:kern w:val="24"/>
          <w:sz w:val="28"/>
          <w:szCs w:val="28"/>
        </w:rPr>
        <w:t xml:space="preserve">Комиссия по делам несовершеннолетних и защите их прав при Администрации городского округа город Салават (далее – КДН и ЗП) в течение 2020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в соответствии с Федеральным законом от 24 июня 1999 года № 120-ФЗ «Об основах системы профилактики безнадзорности и правонарушений несовершеннолетних», а также во исполнение </w:t>
      </w:r>
      <w:r>
        <w:rPr>
          <w:rFonts w:eastAsia="+mn-ea" w:cs="Arial"/>
          <w:color w:val="000000"/>
          <w:kern w:val="24"/>
          <w:sz w:val="28"/>
          <w:szCs w:val="28"/>
        </w:rPr>
        <w:t>Государственной программы «Обеспечение общественной безопасности в Республике Башкортостан на 2015-2020 годы», утвержденной постановлением Правительства Республики Башкортостан от 31.12.2014 года № 670, распоряжения Правительства Республики Башкортостан от 06.06.2018 года № 172-р «Об утверждении плана мероприятий («дорожной карты») по достижению плановых показателей социально-экономического развития Республики Башкортостан по реализации в Республике  Башкортостан Концепции развития системы профилактики безнадзорности и правонарушений несовершеннолетних на период до 2020 года», Межведомственной программы по профилактике безнадзорности и правонарушений несовершеннолетних, защите их прав в городском округе город</w:t>
      </w:r>
      <w:r>
        <w:rPr>
          <w:rFonts w:eastAsia="+mn-ea" w:cs="Arial"/>
          <w:color w:val="000000"/>
          <w:kern w:val="24"/>
          <w:sz w:val="28"/>
          <w:szCs w:val="28"/>
        </w:rPr>
        <w:t xml:space="preserve"> </w:t>
      </w:r>
      <w:r>
        <w:rPr>
          <w:rFonts w:eastAsia="+mn-ea" w:cs="+mn-cs"/>
          <w:color w:val="000000"/>
          <w:kern w:val="24"/>
          <w:sz w:val="28"/>
          <w:szCs w:val="28"/>
        </w:rPr>
        <w:t>Салават Республики Башкортостан на 2020 год», утвержденной постановлением Администрации городского округа город Салават от 26 декабря 2017 года № 3831-п.</w:t>
      </w:r>
    </w:p>
    <w:p w:rsidR="003D3ED2" w:rsidRDefault="003D3ED2" w:rsidP="003D3ED2">
      <w:pPr>
        <w:pStyle w:val="a3"/>
        <w:kinsoku w:val="0"/>
        <w:overflowPunct w:val="0"/>
        <w:spacing w:before="0" w:beforeAutospacing="0" w:after="0" w:afterAutospacing="0"/>
        <w:ind w:left="533"/>
        <w:jc w:val="both"/>
        <w:textAlignment w:val="baseline"/>
      </w:pPr>
      <w:r>
        <w:rPr>
          <w:rFonts w:eastAsia="+mn-ea" w:cs="+mn-cs"/>
          <w:color w:val="000000"/>
          <w:kern w:val="24"/>
          <w:sz w:val="28"/>
          <w:szCs w:val="28"/>
        </w:rPr>
        <w:t xml:space="preserve">       </w:t>
      </w:r>
    </w:p>
    <w:p w:rsidR="003D3ED2" w:rsidRDefault="003D3ED2" w:rsidP="003D3ED2">
      <w:pPr>
        <w:pStyle w:val="a3"/>
        <w:kinsoku w:val="0"/>
        <w:overflowPunct w:val="0"/>
        <w:spacing w:before="0" w:beforeAutospacing="0" w:after="0" w:afterAutospacing="0"/>
        <w:ind w:left="533"/>
        <w:jc w:val="both"/>
        <w:textAlignment w:val="baseline"/>
      </w:pPr>
      <w:r>
        <w:rPr>
          <w:rFonts w:eastAsia="+mn-ea" w:cs="+mn-cs"/>
          <w:color w:val="000000"/>
          <w:kern w:val="24"/>
          <w:sz w:val="28"/>
          <w:szCs w:val="28"/>
        </w:rPr>
        <w:t>Нашими основными целями и задачами явились:</w:t>
      </w:r>
    </w:p>
    <w:p w:rsidR="003D3ED2" w:rsidRDefault="003D3ED2" w:rsidP="003D3ED2">
      <w:pPr>
        <w:pStyle w:val="a3"/>
        <w:kinsoku w:val="0"/>
        <w:overflowPunct w:val="0"/>
        <w:spacing w:before="0" w:beforeAutospacing="0" w:after="0" w:afterAutospacing="0"/>
        <w:jc w:val="both"/>
        <w:textAlignment w:val="baseline"/>
        <w:rPr>
          <w:rFonts w:eastAsia="+mn-ea" w:cs="+mn-cs"/>
          <w:color w:val="000000"/>
          <w:kern w:val="24"/>
          <w:sz w:val="28"/>
          <w:szCs w:val="28"/>
        </w:rPr>
      </w:pPr>
      <w:r>
        <w:rPr>
          <w:rFonts w:eastAsia="+mn-ea" w:cs="+mn-cs"/>
          <w:color w:val="000000"/>
          <w:kern w:val="24"/>
          <w:sz w:val="28"/>
          <w:szCs w:val="28"/>
        </w:rPr>
        <w:t xml:space="preserve">        </w:t>
      </w:r>
      <w:r>
        <w:rPr>
          <w:rFonts w:eastAsia="+mn-ea" w:cs="+mn-cs"/>
          <w:color w:val="000000"/>
          <w:kern w:val="24"/>
          <w:sz w:val="28"/>
          <w:szCs w:val="28"/>
        </w:rPr>
        <w:t xml:space="preserve">- предупреждение безнадзорности, беспризорности, правонарушений и </w:t>
      </w:r>
      <w:r>
        <w:rPr>
          <w:rFonts w:eastAsia="+mn-ea" w:cs="+mn-cs"/>
          <w:color w:val="000000"/>
          <w:kern w:val="24"/>
          <w:sz w:val="28"/>
          <w:szCs w:val="28"/>
        </w:rPr>
        <w:t xml:space="preserve">             </w:t>
      </w:r>
    </w:p>
    <w:p w:rsidR="003D3ED2" w:rsidRDefault="003D3ED2" w:rsidP="003D3ED2">
      <w:pPr>
        <w:pStyle w:val="a3"/>
        <w:kinsoku w:val="0"/>
        <w:overflowPunct w:val="0"/>
        <w:spacing w:before="0" w:beforeAutospacing="0" w:after="0" w:afterAutospacing="0"/>
        <w:jc w:val="both"/>
        <w:textAlignment w:val="baseline"/>
        <w:rPr>
          <w:rFonts w:eastAsia="+mn-ea" w:cs="+mn-cs"/>
          <w:color w:val="000000"/>
          <w:kern w:val="24"/>
          <w:sz w:val="28"/>
          <w:szCs w:val="28"/>
        </w:rPr>
      </w:pPr>
      <w:r>
        <w:rPr>
          <w:rFonts w:eastAsia="+mn-ea" w:cs="+mn-cs"/>
          <w:color w:val="000000"/>
          <w:kern w:val="24"/>
          <w:sz w:val="28"/>
          <w:szCs w:val="28"/>
        </w:rPr>
        <w:t xml:space="preserve">        </w:t>
      </w:r>
      <w:r>
        <w:rPr>
          <w:rFonts w:eastAsia="+mn-ea" w:cs="+mn-cs"/>
          <w:color w:val="000000"/>
          <w:kern w:val="24"/>
          <w:sz w:val="28"/>
          <w:szCs w:val="28"/>
        </w:rPr>
        <w:t xml:space="preserve">антиобщественных действий несовершеннолетних, выявление и устранение </w:t>
      </w:r>
      <w:r>
        <w:rPr>
          <w:rFonts w:eastAsia="+mn-ea" w:cs="+mn-cs"/>
          <w:color w:val="000000"/>
          <w:kern w:val="24"/>
          <w:sz w:val="28"/>
          <w:szCs w:val="28"/>
        </w:rPr>
        <w:t xml:space="preserve">          </w:t>
      </w:r>
    </w:p>
    <w:p w:rsidR="003D3ED2" w:rsidRDefault="003D3ED2" w:rsidP="003D3ED2">
      <w:pPr>
        <w:pStyle w:val="a3"/>
        <w:kinsoku w:val="0"/>
        <w:overflowPunct w:val="0"/>
        <w:spacing w:before="0" w:beforeAutospacing="0" w:after="0" w:afterAutospacing="0"/>
        <w:jc w:val="both"/>
        <w:textAlignment w:val="baseline"/>
      </w:pPr>
      <w:r>
        <w:rPr>
          <w:rFonts w:eastAsia="+mn-ea" w:cs="+mn-cs"/>
          <w:color w:val="000000"/>
          <w:kern w:val="24"/>
          <w:sz w:val="28"/>
          <w:szCs w:val="28"/>
        </w:rPr>
        <w:t xml:space="preserve">       </w:t>
      </w:r>
      <w:r>
        <w:rPr>
          <w:rFonts w:eastAsia="+mn-ea" w:cs="+mn-cs"/>
          <w:color w:val="000000"/>
          <w:kern w:val="24"/>
          <w:sz w:val="28"/>
          <w:szCs w:val="28"/>
        </w:rPr>
        <w:t>причин и условий, способствующих этому;</w:t>
      </w:r>
    </w:p>
    <w:p w:rsidR="003D3ED2" w:rsidRDefault="003D3ED2" w:rsidP="003D3ED2">
      <w:pPr>
        <w:pStyle w:val="a3"/>
        <w:kinsoku w:val="0"/>
        <w:overflowPunct w:val="0"/>
        <w:spacing w:before="0" w:beforeAutospacing="0" w:after="0" w:afterAutospacing="0"/>
        <w:jc w:val="both"/>
        <w:textAlignment w:val="baseline"/>
      </w:pPr>
      <w:r>
        <w:rPr>
          <w:rFonts w:eastAsia="+mn-ea" w:cs="+mn-cs"/>
          <w:color w:val="000000"/>
          <w:kern w:val="24"/>
          <w:sz w:val="28"/>
          <w:szCs w:val="28"/>
        </w:rPr>
        <w:t>- обеспечение защиты прав и законных интересов несовершеннолетних;</w:t>
      </w:r>
    </w:p>
    <w:p w:rsidR="003D3ED2" w:rsidRDefault="003D3ED2" w:rsidP="003D3ED2">
      <w:pPr>
        <w:pStyle w:val="a3"/>
        <w:kinsoku w:val="0"/>
        <w:overflowPunct w:val="0"/>
        <w:spacing w:before="0" w:beforeAutospacing="0" w:after="0" w:afterAutospacing="0"/>
        <w:jc w:val="both"/>
        <w:textAlignment w:val="baseline"/>
      </w:pPr>
      <w:r>
        <w:rPr>
          <w:rFonts w:eastAsia="+mn-ea" w:cs="+mn-cs"/>
          <w:color w:val="000000"/>
          <w:kern w:val="24"/>
          <w:sz w:val="28"/>
          <w:szCs w:val="28"/>
        </w:rPr>
        <w:t>- социально-педагогическая реабилитация несовершеннолетних, в том числе связанная с немедицинским потреблением наркотических средств и психотропных веществ;</w:t>
      </w:r>
    </w:p>
    <w:p w:rsidR="003D3ED2" w:rsidRDefault="003D3ED2" w:rsidP="003D3ED2">
      <w:pPr>
        <w:pStyle w:val="a3"/>
        <w:kinsoku w:val="0"/>
        <w:overflowPunct w:val="0"/>
        <w:spacing w:before="0" w:beforeAutospacing="0" w:after="0" w:afterAutospacing="0"/>
        <w:jc w:val="both"/>
        <w:textAlignment w:val="baseline"/>
      </w:pPr>
      <w:r>
        <w:rPr>
          <w:rFonts w:eastAsia="+mn-ea" w:cs="+mn-cs"/>
          <w:color w:val="000000"/>
          <w:kern w:val="24"/>
          <w:sz w:val="28"/>
          <w:szCs w:val="28"/>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rFonts w:eastAsia="+mn-ea" w:cs="+mn-cs"/>
          <w:color w:val="000000"/>
          <w:kern w:val="24"/>
          <w:sz w:val="28"/>
          <w:szCs w:val="28"/>
        </w:rPr>
        <w:tab/>
      </w:r>
    </w:p>
    <w:p w:rsidR="003D3ED2" w:rsidRDefault="003D3ED2" w:rsidP="003D3ED2">
      <w:pPr>
        <w:pStyle w:val="a3"/>
        <w:kinsoku w:val="0"/>
        <w:overflowPunct w:val="0"/>
        <w:spacing w:before="0" w:beforeAutospacing="0" w:after="0" w:afterAutospacing="0"/>
        <w:jc w:val="both"/>
        <w:textAlignment w:val="baseline"/>
      </w:pPr>
      <w:r>
        <w:rPr>
          <w:rFonts w:eastAsia="+mn-ea" w:cs="+mn-cs"/>
          <w:color w:val="000000"/>
          <w:kern w:val="24"/>
          <w:sz w:val="28"/>
          <w:szCs w:val="28"/>
        </w:rPr>
        <w:t xml:space="preserve">             Межведомственная профилактическая работа органов и учреждений системы профилактики проводилась в тесном взаимодействии с заинтересованными </w:t>
      </w:r>
      <w:r>
        <w:rPr>
          <w:rFonts w:eastAsia="+mn-ea" w:cs="+mn-cs"/>
          <w:color w:val="000000"/>
          <w:kern w:val="24"/>
          <w:sz w:val="28"/>
          <w:szCs w:val="28"/>
        </w:rPr>
        <w:lastRenderedPageBreak/>
        <w:t>организациями и общественными формированиями,  отвечающими за работу с несовершеннолетними и семьями с детьми. Наработанный КДН и ЗП определенный метод взаимодействия всех органов и учреждений системы профилактики обеспечил единый непрерывный процесс, включающий в себя профилактику, выявление и реабилитацию несовершеннолетних, склонных к безнадзорности и правонарушениям, оказание детям и семьям, находящимся в социально опасном положении, социальной, психолого-педагогической и медицинской помощи.</w:t>
      </w:r>
    </w:p>
    <w:p w:rsidR="003D3ED2" w:rsidRDefault="003D3ED2" w:rsidP="003D3ED2">
      <w:pPr>
        <w:pStyle w:val="a3"/>
        <w:kinsoku w:val="0"/>
        <w:overflowPunct w:val="0"/>
        <w:spacing w:before="0" w:beforeAutospacing="0" w:after="0" w:afterAutospacing="0"/>
        <w:jc w:val="both"/>
        <w:textAlignment w:val="baseline"/>
      </w:pPr>
    </w:p>
    <w:p w:rsidR="003D3ED2" w:rsidRPr="003D3ED2" w:rsidRDefault="003D3ED2" w:rsidP="003D3ED2">
      <w:pPr>
        <w:pStyle w:val="a3"/>
        <w:kinsoku w:val="0"/>
        <w:overflowPunct w:val="0"/>
        <w:spacing w:before="67" w:beforeAutospacing="0" w:after="0" w:afterAutospacing="0"/>
        <w:jc w:val="both"/>
        <w:textAlignment w:val="baseline"/>
      </w:pPr>
      <w:r w:rsidRPr="003D3ED2">
        <w:rPr>
          <w:rFonts w:eastAsia="+mn-ea"/>
          <w:b/>
          <w:bCs/>
          <w:color w:val="898989"/>
          <w:kern w:val="24"/>
          <w:sz w:val="28"/>
          <w:szCs w:val="28"/>
        </w:rPr>
        <w:t>Основные приоритетные направления Комиссии по делам несовершеннолетних и защите их прав при Администрации городского округа город Салават</w:t>
      </w:r>
      <w:r w:rsidRPr="003D3ED2">
        <w:rPr>
          <w:rFonts w:eastAsia="+mn-ea"/>
          <w:color w:val="898989"/>
          <w:kern w:val="24"/>
          <w:sz w:val="28"/>
          <w:szCs w:val="28"/>
        </w:rPr>
        <w:t xml:space="preserve"> (далее – КДН и ЗП): </w:t>
      </w:r>
    </w:p>
    <w:p w:rsidR="003D3ED2" w:rsidRPr="003D3ED2" w:rsidRDefault="003D3ED2" w:rsidP="003D3ED2">
      <w:pPr>
        <w:pStyle w:val="a3"/>
        <w:kinsoku w:val="0"/>
        <w:overflowPunct w:val="0"/>
        <w:spacing w:before="67" w:beforeAutospacing="0" w:after="0" w:afterAutospacing="0"/>
        <w:jc w:val="both"/>
        <w:textAlignment w:val="baseline"/>
      </w:pPr>
      <w:r w:rsidRPr="003D3ED2">
        <w:rPr>
          <w:rFonts w:eastAsia="+mn-ea"/>
          <w:color w:val="898989"/>
          <w:kern w:val="24"/>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D3ED2" w:rsidRPr="003D3ED2" w:rsidRDefault="003D3ED2" w:rsidP="003D3ED2">
      <w:pPr>
        <w:pStyle w:val="a3"/>
        <w:kinsoku w:val="0"/>
        <w:overflowPunct w:val="0"/>
        <w:spacing w:before="67" w:beforeAutospacing="0" w:after="0" w:afterAutospacing="0"/>
        <w:jc w:val="both"/>
        <w:textAlignment w:val="baseline"/>
      </w:pPr>
      <w:r w:rsidRPr="003D3ED2">
        <w:rPr>
          <w:rFonts w:eastAsia="+mn-ea"/>
          <w:color w:val="898989"/>
          <w:kern w:val="24"/>
          <w:sz w:val="28"/>
          <w:szCs w:val="28"/>
        </w:rPr>
        <w:t>2) обеспечение защиты прав и законных интересов несовершеннолетних;</w:t>
      </w:r>
    </w:p>
    <w:p w:rsidR="003D3ED2" w:rsidRPr="003D3ED2" w:rsidRDefault="003D3ED2" w:rsidP="003D3ED2">
      <w:pPr>
        <w:pStyle w:val="a3"/>
        <w:kinsoku w:val="0"/>
        <w:overflowPunct w:val="0"/>
        <w:spacing w:before="67" w:beforeAutospacing="0" w:after="0" w:afterAutospacing="0"/>
        <w:jc w:val="both"/>
        <w:textAlignment w:val="baseline"/>
      </w:pPr>
      <w:r w:rsidRPr="003D3ED2">
        <w:rPr>
          <w:rFonts w:eastAsia="+mn-ea"/>
          <w:color w:val="898989"/>
          <w:kern w:val="24"/>
          <w:sz w:val="28"/>
          <w:szCs w:val="28"/>
        </w:rPr>
        <w:t>3) социально-педагогическая реабилитация несовершеннолетних, находящихся в социально опасном положении;</w:t>
      </w:r>
    </w:p>
    <w:p w:rsidR="003D3ED2" w:rsidRPr="003D3ED2" w:rsidRDefault="003D3ED2" w:rsidP="003D3ED2">
      <w:pPr>
        <w:pStyle w:val="a3"/>
        <w:kinsoku w:val="0"/>
        <w:overflowPunct w:val="0"/>
        <w:spacing w:before="67" w:beforeAutospacing="0" w:after="0" w:afterAutospacing="0"/>
        <w:jc w:val="both"/>
        <w:textAlignment w:val="baseline"/>
      </w:pPr>
      <w:r w:rsidRPr="003D3ED2">
        <w:rPr>
          <w:rFonts w:eastAsia="+mn-ea"/>
          <w:color w:val="898989"/>
          <w:kern w:val="24"/>
          <w:sz w:val="28"/>
          <w:szCs w:val="28"/>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D3ED2" w:rsidRDefault="003D3ED2" w:rsidP="003D3ED2">
      <w:pPr>
        <w:pStyle w:val="a3"/>
        <w:kinsoku w:val="0"/>
        <w:overflowPunct w:val="0"/>
        <w:spacing w:before="67" w:beforeAutospacing="0" w:after="0" w:afterAutospacing="0"/>
        <w:jc w:val="both"/>
        <w:textAlignment w:val="baseline"/>
        <w:rPr>
          <w:rFonts w:eastAsia="+mn-ea"/>
          <w:color w:val="898989"/>
          <w:kern w:val="24"/>
          <w:sz w:val="28"/>
          <w:szCs w:val="28"/>
        </w:rPr>
      </w:pPr>
      <w:r w:rsidRPr="003D3ED2">
        <w:rPr>
          <w:rFonts w:eastAsia="+mn-ea"/>
          <w:color w:val="898989"/>
          <w:kern w:val="24"/>
          <w:sz w:val="28"/>
          <w:szCs w:val="28"/>
        </w:rPr>
        <w:t>5)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w:t>
      </w:r>
    </w:p>
    <w:p w:rsidR="003D3ED2" w:rsidRPr="003D3ED2" w:rsidRDefault="003D3ED2" w:rsidP="003D3ED2">
      <w:pPr>
        <w:pStyle w:val="a3"/>
        <w:kinsoku w:val="0"/>
        <w:overflowPunct w:val="0"/>
        <w:spacing w:before="67" w:beforeAutospacing="0" w:after="0" w:afterAutospacing="0"/>
        <w:jc w:val="both"/>
        <w:textAlignment w:val="baseline"/>
      </w:pPr>
    </w:p>
    <w:p w:rsidR="00CA1245" w:rsidRDefault="003D3ED2">
      <w:r>
        <w:rPr>
          <w:noProof/>
          <w:lang w:eastAsia="ru-RU"/>
        </w:rPr>
        <w:drawing>
          <wp:inline distT="0" distB="0" distL="0" distR="0" wp14:anchorId="2F76F9CA" wp14:editId="705F6B59">
            <wp:extent cx="5940425" cy="1677670"/>
            <wp:effectExtent l="0" t="0" r="317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3ED2" w:rsidRDefault="003D3ED2"/>
    <w:p w:rsidR="003D3ED2" w:rsidRDefault="003D3ED2"/>
    <w:p w:rsidR="003D3ED2" w:rsidRDefault="003D3ED2"/>
    <w:p w:rsidR="003D3ED2" w:rsidRDefault="003D3ED2"/>
    <w:p w:rsidR="003D3ED2" w:rsidRDefault="003D3ED2">
      <w:r>
        <w:rPr>
          <w:noProof/>
          <w:lang w:eastAsia="ru-RU"/>
        </w:rPr>
        <w:lastRenderedPageBreak/>
        <w:drawing>
          <wp:inline distT="0" distB="0" distL="0" distR="0" wp14:anchorId="6BD6EE95" wp14:editId="5420F4D6">
            <wp:extent cx="5940425" cy="2277745"/>
            <wp:effectExtent l="0" t="0" r="3175"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3ED2" w:rsidRDefault="003D3ED2"/>
    <w:p w:rsidR="003D3ED2" w:rsidRDefault="003D3ED2"/>
    <w:p w:rsidR="003D3ED2" w:rsidRDefault="003D3ED2"/>
    <w:p w:rsidR="003D3ED2" w:rsidRDefault="003D3ED2">
      <w:r>
        <w:rPr>
          <w:noProof/>
          <w:lang w:eastAsia="ru-RU"/>
        </w:rPr>
        <w:drawing>
          <wp:inline distT="0" distB="0" distL="0" distR="0" wp14:anchorId="19819A07" wp14:editId="366FA449">
            <wp:extent cx="6400800" cy="58578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3ED2" w:rsidRDefault="003D3ED2"/>
    <w:p w:rsidR="006E0751" w:rsidRDefault="006E0751">
      <w:r>
        <w:rPr>
          <w:noProof/>
          <w:lang w:eastAsia="ru-RU"/>
        </w:rPr>
        <w:lastRenderedPageBreak/>
        <w:drawing>
          <wp:inline distT="0" distB="0" distL="0" distR="0" wp14:anchorId="19122C10" wp14:editId="69311643">
            <wp:extent cx="6391275" cy="51244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0751" w:rsidRDefault="006E0751"/>
    <w:p w:rsidR="006E0751" w:rsidRDefault="00531951">
      <w:r>
        <w:rPr>
          <w:noProof/>
          <w:lang w:eastAsia="ru-RU"/>
        </w:rPr>
        <w:drawing>
          <wp:inline distT="0" distB="0" distL="0" distR="0" wp14:anchorId="3E16AF73" wp14:editId="0755A5EC">
            <wp:extent cx="6391275" cy="32670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0751" w:rsidRDefault="006E0751"/>
    <w:p w:rsidR="006E0751" w:rsidRDefault="006E0751"/>
    <w:p w:rsidR="006E0751" w:rsidRDefault="006E0751"/>
    <w:p w:rsidR="003D3ED2" w:rsidRDefault="003D3ED2"/>
    <w:p w:rsidR="003D3ED2" w:rsidRDefault="003D3ED2">
      <w:r>
        <w:rPr>
          <w:noProof/>
          <w:lang w:eastAsia="ru-RU"/>
        </w:rPr>
        <w:drawing>
          <wp:inline distT="0" distB="0" distL="0" distR="0" wp14:anchorId="33C8C145" wp14:editId="400DEEA2">
            <wp:extent cx="6486525" cy="41529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ED2" w:rsidRDefault="003D3ED2">
      <w:r>
        <w:rPr>
          <w:noProof/>
          <w:lang w:eastAsia="ru-RU"/>
        </w:rPr>
        <w:drawing>
          <wp:inline distT="0" distB="0" distL="0" distR="0" wp14:anchorId="5412B182" wp14:editId="33FB765A">
            <wp:extent cx="4305300" cy="3232542"/>
            <wp:effectExtent l="0" t="0" r="0" b="6350"/>
            <wp:docPr id="10" name="Объект 9">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EA457115-41B4-401D-B884-7F7C278872A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Объект 9">
                      <a:extLst>
                        <a:ext uri="{FF2B5EF4-FFF2-40B4-BE49-F238E27FC236}">
                          <a16:creationId xmlns:p="http://schemas.openxmlformats.org/presentationml/2006/main" xmlns="" xmlns:a16="http://schemas.microsoft.com/office/drawing/2014/main" xmlns:lc="http://schemas.openxmlformats.org/drawingml/2006/lockedCanvas" id="{EA457115-41B4-401D-B884-7F7C278872A4}"/>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13363" cy="3238596"/>
                    </a:xfrm>
                    <a:prstGeom prst="rect">
                      <a:avLst/>
                    </a:prstGeom>
                    <a:noFill/>
                    <a:ln>
                      <a:noFill/>
                    </a:ln>
                    <a:extLst/>
                  </pic:spPr>
                </pic:pic>
              </a:graphicData>
            </a:graphic>
          </wp:inline>
        </w:drawing>
      </w:r>
    </w:p>
    <w:p w:rsidR="003D3ED2" w:rsidRDefault="003D3ED2"/>
    <w:p w:rsidR="003D3ED2" w:rsidRDefault="003D3ED2">
      <w:r>
        <w:rPr>
          <w:noProof/>
          <w:lang w:eastAsia="ru-RU"/>
        </w:rPr>
        <w:lastRenderedPageBreak/>
        <w:drawing>
          <wp:inline distT="0" distB="0" distL="0" distR="0" wp14:anchorId="0B46DB38" wp14:editId="2FB70997">
            <wp:extent cx="3371547" cy="2433320"/>
            <wp:effectExtent l="0" t="0" r="635" b="5080"/>
            <wp:docPr id="7" name="Объект 5">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A82AC806-6A39-433E-9784-70C3FC5C014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a:extLst>
                        <a:ext uri="{FF2B5EF4-FFF2-40B4-BE49-F238E27FC236}">
                          <a16:creationId xmlns:p="http://schemas.openxmlformats.org/presentationml/2006/main" xmlns="" xmlns:a16="http://schemas.microsoft.com/office/drawing/2014/main" xmlns:lc="http://schemas.openxmlformats.org/drawingml/2006/lockedCanvas" id="{A82AC806-6A39-433E-9784-70C3FC5C0149}"/>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93949" cy="2449488"/>
                    </a:xfrm>
                    <a:prstGeom prst="rect">
                      <a:avLst/>
                    </a:prstGeom>
                    <a:noFill/>
                    <a:ln>
                      <a:noFill/>
                    </a:ln>
                    <a:extLst/>
                  </pic:spPr>
                </pic:pic>
              </a:graphicData>
            </a:graphic>
          </wp:inline>
        </w:drawing>
      </w:r>
    </w:p>
    <w:p w:rsidR="003D3ED2" w:rsidRDefault="003D3ED2">
      <w:r>
        <w:rPr>
          <w:noProof/>
          <w:lang w:eastAsia="ru-RU"/>
        </w:rPr>
        <w:drawing>
          <wp:inline distT="0" distB="0" distL="0" distR="0" wp14:anchorId="21676AA3" wp14:editId="1772B726">
            <wp:extent cx="2400300" cy="3200400"/>
            <wp:effectExtent l="0" t="0" r="0" b="0"/>
            <wp:docPr id="8" name="Объект 5">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808F7DE6-0A0E-4BFE-9AA4-49D6A7E60A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a:extLst>
                        <a:ext uri="{FF2B5EF4-FFF2-40B4-BE49-F238E27FC236}">
                          <a16:creationId xmlns:p="http://schemas.openxmlformats.org/presentationml/2006/main" xmlns="" xmlns:a16="http://schemas.microsoft.com/office/drawing/2014/main" xmlns:lc="http://schemas.openxmlformats.org/drawingml/2006/lockedCanvas" id="{808F7DE6-0A0E-4BFE-9AA4-49D6A7E60AB7}"/>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05351" cy="3207134"/>
                    </a:xfrm>
                    <a:prstGeom prst="rect">
                      <a:avLst/>
                    </a:prstGeom>
                    <a:noFill/>
                    <a:ln>
                      <a:noFill/>
                    </a:ln>
                    <a:extLst/>
                  </pic:spPr>
                </pic:pic>
              </a:graphicData>
            </a:graphic>
          </wp:inline>
        </w:drawing>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b/>
          <w:bCs/>
          <w:color w:val="000000"/>
          <w:kern w:val="24"/>
          <w:sz w:val="28"/>
          <w:szCs w:val="28"/>
          <w:lang w:eastAsia="ru-RU"/>
        </w:rPr>
        <w:t xml:space="preserve">Основные результаты работы по профилактике безнадзорности и правонарушений несовершеннолетних. </w:t>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xml:space="preserve">          Анализ причин, способствующих безнадзорности несовершеннолетних и совершению ими правонарушений, свидетельствует,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 на которых законом или профессией возложены данные обязанности. Важным моментом деятельности по выявлению указанной категории преступлений является установление неблагополучных семей, своевременная постановка на профилактический учет. </w:t>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привлечение детей, подростков и молодежи к здоровому образу жизни;</w:t>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стабилизация показателей наркологической заболеваемости, смертности, связанной с потреблением спиртных напитков, токсических веществ, наркотических средств и психоактивных веществ;</w:t>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lastRenderedPageBreak/>
        <w:t>- своевременное выявление несовершеннолетних, имеющих риск аутоагрессивного (суицидального) поведения, индивидуальная профилактическая работа с ними;</w:t>
      </w:r>
    </w:p>
    <w:p w:rsidR="003D3ED2" w:rsidRPr="003D3ED2"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увеличение объема и повышение качества социальных услуг, предоставляемых несовершеннолетним, находящимся в социально опасном положении, оказавшимся в трудной жизненной ситуации, и их семьям;</w:t>
      </w:r>
    </w:p>
    <w:p w:rsidR="003D3ED2" w:rsidRPr="00531951" w:rsidRDefault="003D3ED2" w:rsidP="00531951">
      <w:pPr>
        <w:numPr>
          <w:ilvl w:val="0"/>
          <w:numId w:val="1"/>
        </w:num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повышение эффективности социально-реабилитационной работы с детьми и подростками, совершившими противоправные действия. Источниками информации являются руководители образовательных организаций, ГБУЗ РБ Городская больница г. Салават, отдел опеки и попечительства, КДН и ЗП, средства массовой информации, интернет.</w:t>
      </w:r>
    </w:p>
    <w:p w:rsidR="003D3ED2" w:rsidRPr="003D3ED2" w:rsidRDefault="003D3ED2" w:rsidP="00531951">
      <w:p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bookmarkStart w:id="0" w:name="_GoBack"/>
      <w:bookmarkEnd w:id="0"/>
    </w:p>
    <w:p w:rsidR="003D3ED2" w:rsidRPr="003D3ED2" w:rsidRDefault="00531951" w:rsidP="00531951">
      <w:pPr>
        <w:kinsoku w:val="0"/>
        <w:overflowPunct w:val="0"/>
        <w:spacing w:before="6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8"/>
          <w:szCs w:val="28"/>
          <w:lang w:eastAsia="ru-RU"/>
        </w:rPr>
        <w:t xml:space="preserve">              </w:t>
      </w:r>
      <w:r w:rsidR="003D3ED2" w:rsidRPr="003D3ED2">
        <w:rPr>
          <w:rFonts w:ascii="Times New Roman" w:eastAsia="+mn-ea" w:hAnsi="Times New Roman" w:cs="Times New Roman"/>
          <w:color w:val="000000"/>
          <w:kern w:val="24"/>
          <w:sz w:val="28"/>
          <w:szCs w:val="28"/>
          <w:lang w:eastAsia="ru-RU"/>
        </w:rPr>
        <w:t xml:space="preserve">Заместитель председателя Комиссии               </w:t>
      </w:r>
      <w:r>
        <w:rPr>
          <w:rFonts w:ascii="Times New Roman" w:eastAsia="+mn-ea" w:hAnsi="Times New Roman" w:cs="Times New Roman"/>
          <w:color w:val="000000"/>
          <w:kern w:val="24"/>
          <w:sz w:val="28"/>
          <w:szCs w:val="28"/>
          <w:lang w:eastAsia="ru-RU"/>
        </w:rPr>
        <w:t xml:space="preserve">                            </w:t>
      </w:r>
      <w:r w:rsidR="003D3ED2" w:rsidRPr="003D3ED2">
        <w:rPr>
          <w:rFonts w:ascii="Times New Roman" w:eastAsia="+mn-ea" w:hAnsi="Times New Roman" w:cs="Times New Roman"/>
          <w:color w:val="000000"/>
          <w:kern w:val="24"/>
          <w:sz w:val="28"/>
          <w:szCs w:val="28"/>
          <w:lang w:eastAsia="ru-RU"/>
        </w:rPr>
        <w:t>Ф.Ф.Ишкинин</w:t>
      </w:r>
    </w:p>
    <w:p w:rsidR="003D3ED2" w:rsidRDefault="003D3ED2" w:rsidP="00531951">
      <w:pPr>
        <w:jc w:val="both"/>
      </w:pPr>
    </w:p>
    <w:p w:rsidR="003D3ED2" w:rsidRDefault="003D3ED2" w:rsidP="00531951">
      <w:pPr>
        <w:jc w:val="both"/>
      </w:pPr>
    </w:p>
    <w:p w:rsidR="003D3ED2" w:rsidRDefault="003D3ED2" w:rsidP="00531951">
      <w:pPr>
        <w:jc w:val="both"/>
      </w:pPr>
    </w:p>
    <w:p w:rsidR="003D3ED2" w:rsidRDefault="003D3ED2" w:rsidP="00531951">
      <w:pPr>
        <w:jc w:val="both"/>
      </w:pPr>
    </w:p>
    <w:p w:rsidR="003D3ED2" w:rsidRDefault="003D3ED2" w:rsidP="00531951">
      <w:pPr>
        <w:jc w:val="both"/>
      </w:pPr>
    </w:p>
    <w:sectPr w:rsidR="003D3ED2" w:rsidSect="003D3ED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A653D"/>
    <w:multiLevelType w:val="hybridMultilevel"/>
    <w:tmpl w:val="521A46E4"/>
    <w:lvl w:ilvl="0" w:tplc="18FA7200">
      <w:start w:val="1"/>
      <w:numFmt w:val="bullet"/>
      <w:lvlText w:val="•"/>
      <w:lvlJc w:val="left"/>
      <w:pPr>
        <w:tabs>
          <w:tab w:val="num" w:pos="720"/>
        </w:tabs>
        <w:ind w:left="720" w:hanging="360"/>
      </w:pPr>
      <w:rPr>
        <w:rFonts w:ascii="Arial" w:hAnsi="Arial" w:hint="default"/>
      </w:rPr>
    </w:lvl>
    <w:lvl w:ilvl="1" w:tplc="CCFA2214" w:tentative="1">
      <w:start w:val="1"/>
      <w:numFmt w:val="bullet"/>
      <w:lvlText w:val="•"/>
      <w:lvlJc w:val="left"/>
      <w:pPr>
        <w:tabs>
          <w:tab w:val="num" w:pos="1440"/>
        </w:tabs>
        <w:ind w:left="1440" w:hanging="360"/>
      </w:pPr>
      <w:rPr>
        <w:rFonts w:ascii="Arial" w:hAnsi="Arial" w:hint="default"/>
      </w:rPr>
    </w:lvl>
    <w:lvl w:ilvl="2" w:tplc="B4F6DDC4" w:tentative="1">
      <w:start w:val="1"/>
      <w:numFmt w:val="bullet"/>
      <w:lvlText w:val="•"/>
      <w:lvlJc w:val="left"/>
      <w:pPr>
        <w:tabs>
          <w:tab w:val="num" w:pos="2160"/>
        </w:tabs>
        <w:ind w:left="2160" w:hanging="360"/>
      </w:pPr>
      <w:rPr>
        <w:rFonts w:ascii="Arial" w:hAnsi="Arial" w:hint="default"/>
      </w:rPr>
    </w:lvl>
    <w:lvl w:ilvl="3" w:tplc="56E88C2A" w:tentative="1">
      <w:start w:val="1"/>
      <w:numFmt w:val="bullet"/>
      <w:lvlText w:val="•"/>
      <w:lvlJc w:val="left"/>
      <w:pPr>
        <w:tabs>
          <w:tab w:val="num" w:pos="2880"/>
        </w:tabs>
        <w:ind w:left="2880" w:hanging="360"/>
      </w:pPr>
      <w:rPr>
        <w:rFonts w:ascii="Arial" w:hAnsi="Arial" w:hint="default"/>
      </w:rPr>
    </w:lvl>
    <w:lvl w:ilvl="4" w:tplc="AD0AEE5C" w:tentative="1">
      <w:start w:val="1"/>
      <w:numFmt w:val="bullet"/>
      <w:lvlText w:val="•"/>
      <w:lvlJc w:val="left"/>
      <w:pPr>
        <w:tabs>
          <w:tab w:val="num" w:pos="3600"/>
        </w:tabs>
        <w:ind w:left="3600" w:hanging="360"/>
      </w:pPr>
      <w:rPr>
        <w:rFonts w:ascii="Arial" w:hAnsi="Arial" w:hint="default"/>
      </w:rPr>
    </w:lvl>
    <w:lvl w:ilvl="5" w:tplc="F4E6B684" w:tentative="1">
      <w:start w:val="1"/>
      <w:numFmt w:val="bullet"/>
      <w:lvlText w:val="•"/>
      <w:lvlJc w:val="left"/>
      <w:pPr>
        <w:tabs>
          <w:tab w:val="num" w:pos="4320"/>
        </w:tabs>
        <w:ind w:left="4320" w:hanging="360"/>
      </w:pPr>
      <w:rPr>
        <w:rFonts w:ascii="Arial" w:hAnsi="Arial" w:hint="default"/>
      </w:rPr>
    </w:lvl>
    <w:lvl w:ilvl="6" w:tplc="6FC66562" w:tentative="1">
      <w:start w:val="1"/>
      <w:numFmt w:val="bullet"/>
      <w:lvlText w:val="•"/>
      <w:lvlJc w:val="left"/>
      <w:pPr>
        <w:tabs>
          <w:tab w:val="num" w:pos="5040"/>
        </w:tabs>
        <w:ind w:left="5040" w:hanging="360"/>
      </w:pPr>
      <w:rPr>
        <w:rFonts w:ascii="Arial" w:hAnsi="Arial" w:hint="default"/>
      </w:rPr>
    </w:lvl>
    <w:lvl w:ilvl="7" w:tplc="D0F28FB2" w:tentative="1">
      <w:start w:val="1"/>
      <w:numFmt w:val="bullet"/>
      <w:lvlText w:val="•"/>
      <w:lvlJc w:val="left"/>
      <w:pPr>
        <w:tabs>
          <w:tab w:val="num" w:pos="5760"/>
        </w:tabs>
        <w:ind w:left="5760" w:hanging="360"/>
      </w:pPr>
      <w:rPr>
        <w:rFonts w:ascii="Arial" w:hAnsi="Arial" w:hint="default"/>
      </w:rPr>
    </w:lvl>
    <w:lvl w:ilvl="8" w:tplc="27205E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03"/>
    <w:rsid w:val="003D3ED2"/>
    <w:rsid w:val="00531951"/>
    <w:rsid w:val="006E0751"/>
    <w:rsid w:val="00CA1245"/>
    <w:rsid w:val="00E0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61AE-D6C4-4803-9B11-F5FDB0D4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00998">
      <w:bodyDiv w:val="1"/>
      <w:marLeft w:val="0"/>
      <w:marRight w:val="0"/>
      <w:marTop w:val="0"/>
      <w:marBottom w:val="0"/>
      <w:divBdr>
        <w:top w:val="none" w:sz="0" w:space="0" w:color="auto"/>
        <w:left w:val="none" w:sz="0" w:space="0" w:color="auto"/>
        <w:bottom w:val="none" w:sz="0" w:space="0" w:color="auto"/>
        <w:right w:val="none" w:sz="0" w:space="0" w:color="auto"/>
      </w:divBdr>
    </w:div>
    <w:div w:id="1123504448">
      <w:bodyDiv w:val="1"/>
      <w:marLeft w:val="0"/>
      <w:marRight w:val="0"/>
      <w:marTop w:val="0"/>
      <w:marBottom w:val="0"/>
      <w:divBdr>
        <w:top w:val="none" w:sz="0" w:space="0" w:color="auto"/>
        <w:left w:val="none" w:sz="0" w:space="0" w:color="auto"/>
        <w:bottom w:val="none" w:sz="0" w:space="0" w:color="auto"/>
        <w:right w:val="none" w:sz="0" w:space="0" w:color="auto"/>
      </w:divBdr>
    </w:div>
    <w:div w:id="1162623582">
      <w:bodyDiv w:val="1"/>
      <w:marLeft w:val="0"/>
      <w:marRight w:val="0"/>
      <w:marTop w:val="0"/>
      <w:marBottom w:val="0"/>
      <w:divBdr>
        <w:top w:val="none" w:sz="0" w:space="0" w:color="auto"/>
        <w:left w:val="none" w:sz="0" w:space="0" w:color="auto"/>
        <w:bottom w:val="none" w:sz="0" w:space="0" w:color="auto"/>
        <w:right w:val="none" w:sz="0" w:space="0" w:color="auto"/>
      </w:divBdr>
    </w:div>
    <w:div w:id="1165390104">
      <w:bodyDiv w:val="1"/>
      <w:marLeft w:val="0"/>
      <w:marRight w:val="0"/>
      <w:marTop w:val="0"/>
      <w:marBottom w:val="0"/>
      <w:divBdr>
        <w:top w:val="none" w:sz="0" w:space="0" w:color="auto"/>
        <w:left w:val="none" w:sz="0" w:space="0" w:color="auto"/>
        <w:bottom w:val="none" w:sz="0" w:space="0" w:color="auto"/>
        <w:right w:val="none" w:sz="0" w:space="0" w:color="auto"/>
      </w:divBdr>
      <w:divsChild>
        <w:div w:id="820195217">
          <w:marLeft w:val="533"/>
          <w:marRight w:val="0"/>
          <w:marTop w:val="67"/>
          <w:marBottom w:val="0"/>
          <w:divBdr>
            <w:top w:val="none" w:sz="0" w:space="0" w:color="auto"/>
            <w:left w:val="none" w:sz="0" w:space="0" w:color="auto"/>
            <w:bottom w:val="none" w:sz="0" w:space="0" w:color="auto"/>
            <w:right w:val="none" w:sz="0" w:space="0" w:color="auto"/>
          </w:divBdr>
        </w:div>
        <w:div w:id="813182199">
          <w:marLeft w:val="533"/>
          <w:marRight w:val="0"/>
          <w:marTop w:val="67"/>
          <w:marBottom w:val="0"/>
          <w:divBdr>
            <w:top w:val="none" w:sz="0" w:space="0" w:color="auto"/>
            <w:left w:val="none" w:sz="0" w:space="0" w:color="auto"/>
            <w:bottom w:val="none" w:sz="0" w:space="0" w:color="auto"/>
            <w:right w:val="none" w:sz="0" w:space="0" w:color="auto"/>
          </w:divBdr>
        </w:div>
        <w:div w:id="1055084875">
          <w:marLeft w:val="533"/>
          <w:marRight w:val="0"/>
          <w:marTop w:val="67"/>
          <w:marBottom w:val="0"/>
          <w:divBdr>
            <w:top w:val="none" w:sz="0" w:space="0" w:color="auto"/>
            <w:left w:val="none" w:sz="0" w:space="0" w:color="auto"/>
            <w:bottom w:val="none" w:sz="0" w:space="0" w:color="auto"/>
            <w:right w:val="none" w:sz="0" w:space="0" w:color="auto"/>
          </w:divBdr>
        </w:div>
        <w:div w:id="2045789131">
          <w:marLeft w:val="533"/>
          <w:marRight w:val="0"/>
          <w:marTop w:val="67"/>
          <w:marBottom w:val="0"/>
          <w:divBdr>
            <w:top w:val="none" w:sz="0" w:space="0" w:color="auto"/>
            <w:left w:val="none" w:sz="0" w:space="0" w:color="auto"/>
            <w:bottom w:val="none" w:sz="0" w:space="0" w:color="auto"/>
            <w:right w:val="none" w:sz="0" w:space="0" w:color="auto"/>
          </w:divBdr>
        </w:div>
        <w:div w:id="62222345">
          <w:marLeft w:val="533"/>
          <w:marRight w:val="0"/>
          <w:marTop w:val="67"/>
          <w:marBottom w:val="0"/>
          <w:divBdr>
            <w:top w:val="none" w:sz="0" w:space="0" w:color="auto"/>
            <w:left w:val="none" w:sz="0" w:space="0" w:color="auto"/>
            <w:bottom w:val="none" w:sz="0" w:space="0" w:color="auto"/>
            <w:right w:val="none" w:sz="0" w:space="0" w:color="auto"/>
          </w:divBdr>
        </w:div>
        <w:div w:id="120851926">
          <w:marLeft w:val="533"/>
          <w:marRight w:val="0"/>
          <w:marTop w:val="67"/>
          <w:marBottom w:val="0"/>
          <w:divBdr>
            <w:top w:val="none" w:sz="0" w:space="0" w:color="auto"/>
            <w:left w:val="none" w:sz="0" w:space="0" w:color="auto"/>
            <w:bottom w:val="none" w:sz="0" w:space="0" w:color="auto"/>
            <w:right w:val="none" w:sz="0" w:space="0" w:color="auto"/>
          </w:divBdr>
        </w:div>
        <w:div w:id="1859543492">
          <w:marLeft w:val="533"/>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jpe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Кол-во несоверш.</c:v>
                </c:pt>
              </c:strCache>
            </c:strRef>
          </c:cat>
          <c:val>
            <c:numRef>
              <c:f>Лист1!$B$2</c:f>
              <c:numCache>
                <c:formatCode>General</c:formatCode>
                <c:ptCount val="1"/>
                <c:pt idx="0">
                  <c:v>30699</c:v>
                </c:pt>
              </c:numCache>
            </c:numRef>
          </c:val>
          <c:extLst xmlns:c16r2="http://schemas.microsoft.com/office/drawing/2015/06/chart">
            <c:ext xmlns:c16="http://schemas.microsoft.com/office/drawing/2014/chart" uri="{C3380CC4-5D6E-409C-BE32-E72D297353CC}">
              <c16:uniqueId val="{00000000-8777-405A-A628-FED3312604A2}"/>
            </c:ext>
          </c:extLst>
        </c:ser>
        <c:ser>
          <c:idx val="1"/>
          <c:order val="1"/>
          <c:tx>
            <c:strRef>
              <c:f>Лист1!$C$1</c:f>
              <c:strCache>
                <c:ptCount val="1"/>
                <c:pt idx="0">
                  <c:v>2019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Кол-во несоверш.</c:v>
                </c:pt>
              </c:strCache>
            </c:strRef>
          </c:cat>
          <c:val>
            <c:numRef>
              <c:f>Лист1!$C$2</c:f>
              <c:numCache>
                <c:formatCode>General</c:formatCode>
                <c:ptCount val="1"/>
                <c:pt idx="0">
                  <c:v>32263</c:v>
                </c:pt>
              </c:numCache>
            </c:numRef>
          </c:val>
          <c:extLst xmlns:c16r2="http://schemas.microsoft.com/office/drawing/2015/06/chart">
            <c:ext xmlns:c16="http://schemas.microsoft.com/office/drawing/2014/chart" uri="{C3380CC4-5D6E-409C-BE32-E72D297353CC}">
              <c16:uniqueId val="{00000001-8777-405A-A628-FED3312604A2}"/>
            </c:ext>
          </c:extLst>
        </c:ser>
        <c:ser>
          <c:idx val="2"/>
          <c:order val="2"/>
          <c:tx>
            <c:strRef>
              <c:f>Лист1!$D$1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Кол-во несоверш.</c:v>
                </c:pt>
              </c:strCache>
            </c:strRef>
          </c:cat>
          <c:val>
            <c:numRef>
              <c:f>Лист1!$D$2</c:f>
              <c:numCache>
                <c:formatCode>General</c:formatCode>
                <c:ptCount val="1"/>
                <c:pt idx="0">
                  <c:v>31989</c:v>
                </c:pt>
              </c:numCache>
            </c:numRef>
          </c:val>
        </c:ser>
        <c:dLbls>
          <c:showLegendKey val="0"/>
          <c:showVal val="0"/>
          <c:showCatName val="0"/>
          <c:showSerName val="0"/>
          <c:showPercent val="0"/>
          <c:showBubbleSize val="0"/>
        </c:dLbls>
        <c:gapWidth val="150"/>
        <c:axId val="342749520"/>
        <c:axId val="342759712"/>
      </c:barChart>
      <c:catAx>
        <c:axId val="342749520"/>
        <c:scaling>
          <c:orientation val="minMax"/>
        </c:scaling>
        <c:delete val="0"/>
        <c:axPos val="b"/>
        <c:numFmt formatCode="General" sourceLinked="0"/>
        <c:majorTickMark val="out"/>
        <c:minorTickMark val="none"/>
        <c:tickLblPos val="nextTo"/>
        <c:crossAx val="342759712"/>
        <c:crosses val="autoZero"/>
        <c:auto val="1"/>
        <c:lblAlgn val="ctr"/>
        <c:lblOffset val="100"/>
        <c:noMultiLvlLbl val="0"/>
      </c:catAx>
      <c:valAx>
        <c:axId val="342759712"/>
        <c:scaling>
          <c:orientation val="minMax"/>
        </c:scaling>
        <c:delete val="0"/>
        <c:axPos val="l"/>
        <c:majorGridlines/>
        <c:numFmt formatCode="General" sourceLinked="0"/>
        <c:majorTickMark val="out"/>
        <c:minorTickMark val="none"/>
        <c:tickLblPos val="nextTo"/>
        <c:crossAx val="342749520"/>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Лист1!$B$2:$B$5</c:f>
              <c:numCache>
                <c:formatCode>General</c:formatCode>
                <c:ptCount val="4"/>
                <c:pt idx="0">
                  <c:v>170</c:v>
                </c:pt>
                <c:pt idx="1">
                  <c:v>116</c:v>
                </c:pt>
                <c:pt idx="2">
                  <c:v>141</c:v>
                </c:pt>
                <c:pt idx="3">
                  <c:v>109</c:v>
                </c:pt>
              </c:numCache>
            </c:numRef>
          </c:val>
        </c:ser>
        <c:ser>
          <c:idx val="1"/>
          <c:order val="1"/>
          <c:tx>
            <c:strRef>
              <c:f>Лист1!$C$1</c:f>
              <c:strCache>
                <c:ptCount val="1"/>
                <c:pt idx="0">
                  <c:v>2019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Лист1!$C$2:$C$5</c:f>
              <c:numCache>
                <c:formatCode>General</c:formatCode>
                <c:ptCount val="4"/>
                <c:pt idx="0">
                  <c:v>80</c:v>
                </c:pt>
                <c:pt idx="1">
                  <c:v>92</c:v>
                </c:pt>
                <c:pt idx="2">
                  <c:v>124</c:v>
                </c:pt>
                <c:pt idx="3">
                  <c:v>128</c:v>
                </c:pt>
              </c:numCache>
            </c:numRef>
          </c:val>
        </c:ser>
        <c:ser>
          <c:idx val="2"/>
          <c:order val="2"/>
          <c:tx>
            <c:strRef>
              <c:f>Лист1!$D$1</c:f>
              <c:strCache>
                <c:ptCount val="1"/>
                <c:pt idx="0">
                  <c:v>2020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Лист1!$D$2:$D$5</c:f>
              <c:numCache>
                <c:formatCode>General</c:formatCode>
                <c:ptCount val="4"/>
                <c:pt idx="0">
                  <c:v>145</c:v>
                </c:pt>
                <c:pt idx="1">
                  <c:v>75</c:v>
                </c:pt>
                <c:pt idx="2">
                  <c:v>65</c:v>
                </c:pt>
                <c:pt idx="3">
                  <c:v>92</c:v>
                </c:pt>
              </c:numCache>
            </c:numRef>
          </c:val>
        </c:ser>
        <c:dLbls>
          <c:dLblPos val="outEnd"/>
          <c:showLegendKey val="0"/>
          <c:showVal val="1"/>
          <c:showCatName val="0"/>
          <c:showSerName val="0"/>
          <c:showPercent val="0"/>
          <c:showBubbleSize val="0"/>
        </c:dLbls>
        <c:gapWidth val="219"/>
        <c:overlap val="-27"/>
        <c:axId val="342760888"/>
        <c:axId val="342756576"/>
      </c:barChart>
      <c:catAx>
        <c:axId val="34276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42756576"/>
        <c:crosses val="autoZero"/>
        <c:auto val="1"/>
        <c:lblAlgn val="ctr"/>
        <c:lblOffset val="100"/>
        <c:noMultiLvlLbl val="0"/>
      </c:catAx>
      <c:valAx>
        <c:axId val="34275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4276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104670943909792E-2"/>
          <c:y val="8.4145849181710072E-2"/>
          <c:w val="0.78799637892485663"/>
          <c:h val="0.58082092142600372"/>
        </c:manualLayout>
      </c:layout>
      <c:barChart>
        <c:barDir val="col"/>
        <c:grouping val="clustered"/>
        <c:varyColors val="0"/>
        <c:ser>
          <c:idx val="0"/>
          <c:order val="0"/>
          <c:tx>
            <c:strRef>
              <c:f>Лист1!$B$1</c:f>
              <c:strCache>
                <c:ptCount val="1"/>
                <c:pt idx="0">
                  <c:v>2019 г.</c:v>
                </c:pt>
              </c:strCache>
            </c:strRef>
          </c:tx>
          <c:invertIfNegative val="0"/>
          <c:dLbls>
            <c:dLbl>
              <c:idx val="1"/>
              <c:layout>
                <c:manualLayout>
                  <c:x val="-2.7557336582927135E-2"/>
                  <c:y val="3.0599833557390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Лист1!$B$2:$B$6</c:f>
              <c:numCache>
                <c:formatCode>General</c:formatCode>
                <c:ptCount val="5"/>
                <c:pt idx="0">
                  <c:v>36</c:v>
                </c:pt>
                <c:pt idx="1">
                  <c:v>748</c:v>
                </c:pt>
                <c:pt idx="2">
                  <c:v>264</c:v>
                </c:pt>
                <c:pt idx="3">
                  <c:v>481</c:v>
                </c:pt>
                <c:pt idx="4">
                  <c:v>14</c:v>
                </c:pt>
              </c:numCache>
            </c:numRef>
          </c:val>
          <c:extLst xmlns:c16r2="http://schemas.microsoft.com/office/drawing/2015/06/chart">
            <c:ext xmlns:c16="http://schemas.microsoft.com/office/drawing/2014/chart" uri="{C3380CC4-5D6E-409C-BE32-E72D297353CC}">
              <c16:uniqueId val="{00000000-E08A-4949-967C-C12B76871553}"/>
            </c:ext>
          </c:extLst>
        </c:ser>
        <c:ser>
          <c:idx val="1"/>
          <c:order val="1"/>
          <c:tx>
            <c:strRef>
              <c:f>Лист1!$C$1</c:f>
              <c:strCache>
                <c:ptCount val="1"/>
                <c:pt idx="0">
                  <c:v>2020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Лист1!$C$2:$C$6</c:f>
              <c:numCache>
                <c:formatCode>General</c:formatCode>
                <c:ptCount val="5"/>
                <c:pt idx="0">
                  <c:v>29</c:v>
                </c:pt>
                <c:pt idx="1">
                  <c:v>730</c:v>
                </c:pt>
                <c:pt idx="2">
                  <c:v>322</c:v>
                </c:pt>
                <c:pt idx="3">
                  <c:v>385</c:v>
                </c:pt>
                <c:pt idx="4">
                  <c:v>23</c:v>
                </c:pt>
              </c:numCache>
            </c:numRef>
          </c:val>
          <c:extLst xmlns:c16r2="http://schemas.microsoft.com/office/drawing/2015/06/chart">
            <c:ext xmlns:c16="http://schemas.microsoft.com/office/drawing/2014/chart" uri="{C3380CC4-5D6E-409C-BE32-E72D297353CC}">
              <c16:uniqueId val="{00000001-E08A-4949-967C-C12B76871553}"/>
            </c:ext>
          </c:extLst>
        </c:ser>
        <c:ser>
          <c:idx val="2"/>
          <c:order val="2"/>
          <c:tx>
            <c:strRef>
              <c:f>Лист1!$D$1</c:f>
              <c:strCache>
                <c:ptCount val="1"/>
                <c:pt idx="0">
                  <c:v>2018г.</c:v>
                </c:pt>
              </c:strCache>
            </c:strRef>
          </c:tx>
          <c:invertIfNegative val="0"/>
          <c:dLbls>
            <c:dLbl>
              <c:idx val="1"/>
              <c:layout>
                <c:manualLayout>
                  <c:x val="4.4091832270966136E-2"/>
                  <c:y val="5.6120386485284494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6857424071991004E-2"/>
                      <c:h val="8.6917013422102715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Лист1!$D$2:$D$6</c:f>
              <c:numCache>
                <c:formatCode>General</c:formatCode>
                <c:ptCount val="5"/>
                <c:pt idx="0">
                  <c:v>34</c:v>
                </c:pt>
                <c:pt idx="1">
                  <c:v>722</c:v>
                </c:pt>
                <c:pt idx="2">
                  <c:v>258</c:v>
                </c:pt>
                <c:pt idx="3">
                  <c:v>459</c:v>
                </c:pt>
                <c:pt idx="4">
                  <c:v>15</c:v>
                </c:pt>
              </c:numCache>
            </c:numRef>
          </c:val>
        </c:ser>
        <c:dLbls>
          <c:showLegendKey val="0"/>
          <c:showVal val="0"/>
          <c:showCatName val="0"/>
          <c:showSerName val="0"/>
          <c:showPercent val="0"/>
          <c:showBubbleSize val="0"/>
        </c:dLbls>
        <c:gapWidth val="150"/>
        <c:axId val="342756968"/>
        <c:axId val="342757360"/>
      </c:barChart>
      <c:catAx>
        <c:axId val="342756968"/>
        <c:scaling>
          <c:orientation val="minMax"/>
        </c:scaling>
        <c:delete val="0"/>
        <c:axPos val="b"/>
        <c:numFmt formatCode="General" sourceLinked="0"/>
        <c:majorTickMark val="out"/>
        <c:minorTickMark val="none"/>
        <c:tickLblPos val="nextTo"/>
        <c:crossAx val="342757360"/>
        <c:crosses val="autoZero"/>
        <c:auto val="1"/>
        <c:lblAlgn val="ctr"/>
        <c:lblOffset val="100"/>
        <c:noMultiLvlLbl val="0"/>
      </c:catAx>
      <c:valAx>
        <c:axId val="342757360"/>
        <c:scaling>
          <c:orientation val="minMax"/>
        </c:scaling>
        <c:delete val="0"/>
        <c:axPos val="l"/>
        <c:majorGridlines/>
        <c:numFmt formatCode="General" sourceLinked="1"/>
        <c:majorTickMark val="out"/>
        <c:minorTickMark val="none"/>
        <c:tickLblPos val="nextTo"/>
        <c:crossAx val="342756968"/>
        <c:crosses val="autoZero"/>
        <c:crossBetween val="between"/>
      </c:valAx>
    </c:plotArea>
    <c:legend>
      <c:legendPos val="r"/>
      <c:layout>
        <c:manualLayout>
          <c:xMode val="edge"/>
          <c:yMode val="edge"/>
          <c:x val="0.84662198475190598"/>
          <c:y val="0.23846548449736465"/>
          <c:w val="0.15139388826396699"/>
          <c:h val="0.18052160553101593"/>
        </c:manualLayout>
      </c:layout>
      <c:overlay val="0"/>
    </c:legend>
    <c:plotVisOnly val="1"/>
    <c:dispBlanksAs val="gap"/>
    <c:showDLblsOverMax val="0"/>
  </c:chart>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02109907647534"/>
          <c:y val="4.599381397027974E-2"/>
          <c:w val="0.83428416346469725"/>
          <c:h val="0.43757891966858758"/>
        </c:manualLayout>
      </c:layout>
      <c:barChart>
        <c:barDir val="col"/>
        <c:grouping val="clustered"/>
        <c:varyColors val="0"/>
        <c:ser>
          <c:idx val="0"/>
          <c:order val="0"/>
          <c:tx>
            <c:strRef>
              <c:f>Лист1!$B$1</c:f>
              <c:strCache>
                <c:ptCount val="1"/>
                <c:pt idx="0">
                  <c:v>2019 г.</c:v>
                </c:pt>
              </c:strCache>
            </c:strRef>
          </c:tx>
          <c:invertIfNegative val="0"/>
          <c:dLbls>
            <c:dLbl>
              <c:idx val="1"/>
              <c:layout>
                <c:manualLayout>
                  <c:x val="-1.0243389384299761E-2"/>
                  <c:y val="4.383996670519160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741943482550328E-3"/>
                  <c:y val="-5.9347047125867924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2214464250090943E-2"/>
                      <c:h val="4.3070768570285585E-2"/>
                    </c:manualLayout>
                  </c15:layout>
                </c:ext>
              </c:extLst>
            </c:dLbl>
            <c:dLbl>
              <c:idx val="4"/>
              <c:layout>
                <c:manualLayout>
                  <c:x val="-1.6096754746756682E-2"/>
                  <c:y val="-4.7825970707157375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7800480436854636E-3"/>
                  <c:y val="7.173895606073672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Лист1!$B$2:$B$10</c:f>
              <c:numCache>
                <c:formatCode>General</c:formatCode>
                <c:ptCount val="9"/>
                <c:pt idx="0">
                  <c:v>238</c:v>
                </c:pt>
                <c:pt idx="1">
                  <c:v>21</c:v>
                </c:pt>
                <c:pt idx="2">
                  <c:v>24</c:v>
                </c:pt>
                <c:pt idx="3">
                  <c:v>27</c:v>
                </c:pt>
                <c:pt idx="4">
                  <c:v>16</c:v>
                </c:pt>
                <c:pt idx="5">
                  <c:v>16</c:v>
                </c:pt>
                <c:pt idx="6">
                  <c:v>6</c:v>
                </c:pt>
                <c:pt idx="7">
                  <c:v>2</c:v>
                </c:pt>
                <c:pt idx="8">
                  <c:v>0</c:v>
                </c:pt>
              </c:numCache>
            </c:numRef>
          </c:val>
          <c:extLst xmlns:c16r2="http://schemas.microsoft.com/office/drawing/2015/06/chart">
            <c:ext xmlns:c16="http://schemas.microsoft.com/office/drawing/2014/chart" uri="{C3380CC4-5D6E-409C-BE32-E72D297353CC}">
              <c16:uniqueId val="{00000000-5ED0-4E48-BC03-BCB43CE818DB}"/>
            </c:ext>
          </c:extLst>
        </c:ser>
        <c:ser>
          <c:idx val="1"/>
          <c:order val="1"/>
          <c:tx>
            <c:strRef>
              <c:f>Лист1!$C$1</c:f>
              <c:strCache>
                <c:ptCount val="1"/>
                <c:pt idx="0">
                  <c:v>2020 г.</c:v>
                </c:pt>
              </c:strCache>
            </c:strRef>
          </c:tx>
          <c:invertIfNegative val="0"/>
          <c:dLbls>
            <c:dLbl>
              <c:idx val="2"/>
              <c:layout>
                <c:manualLayout>
                  <c:x val="0"/>
                  <c:y val="-5.260856777787359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014817074840309E-3"/>
                  <c:y val="-3.228258642390891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4531490195618245E-2"/>
                      <c:h val="8.6026988262154949E-2"/>
                    </c:manualLayout>
                  </c15:layout>
                </c:ext>
              </c:extLst>
            </c:dLbl>
            <c:dLbl>
              <c:idx val="4"/>
              <c:layout>
                <c:manualLayout>
                  <c:x val="-2.9266826812284876E-3"/>
                  <c:y val="-4.06520751010841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900240218427318E-3"/>
                  <c:y val="-3.82607765657262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5486027509895414E-2"/>
                      <c:h val="5.7331476530817056E-2"/>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Лист1!$C$2:$C$10</c:f>
              <c:numCache>
                <c:formatCode>General</c:formatCode>
                <c:ptCount val="9"/>
                <c:pt idx="0">
                  <c:v>340</c:v>
                </c:pt>
                <c:pt idx="1">
                  <c:v>32</c:v>
                </c:pt>
                <c:pt idx="2">
                  <c:v>36</c:v>
                </c:pt>
                <c:pt idx="3">
                  <c:v>30</c:v>
                </c:pt>
                <c:pt idx="4">
                  <c:v>20</c:v>
                </c:pt>
                <c:pt idx="5">
                  <c:v>26</c:v>
                </c:pt>
                <c:pt idx="6">
                  <c:v>5</c:v>
                </c:pt>
                <c:pt idx="7">
                  <c:v>2</c:v>
                </c:pt>
                <c:pt idx="8">
                  <c:v>107</c:v>
                </c:pt>
              </c:numCache>
            </c:numRef>
          </c:val>
          <c:extLst xmlns:c16r2="http://schemas.microsoft.com/office/drawing/2015/06/chart">
            <c:ext xmlns:c16="http://schemas.microsoft.com/office/drawing/2014/chart" uri="{C3380CC4-5D6E-409C-BE32-E72D297353CC}">
              <c16:uniqueId val="{00000001-5ED0-4E48-BC03-BCB43CE818DB}"/>
            </c:ext>
          </c:extLst>
        </c:ser>
        <c:ser>
          <c:idx val="2"/>
          <c:order val="2"/>
          <c:tx>
            <c:strRef>
              <c:f>Лист1!$D$1</c:f>
              <c:strCache>
                <c:ptCount val="1"/>
                <c:pt idx="0">
                  <c:v>2018</c:v>
                </c:pt>
              </c:strCache>
            </c:strRef>
          </c:tx>
          <c:invertIfNegative val="0"/>
          <c:dLbls>
            <c:dLbl>
              <c:idx val="3"/>
              <c:layout>
                <c:manualLayout>
                  <c:x val="-5.437602683364743E-3"/>
                  <c:y val="4.8697368257188851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9287661695045198E-2"/>
                      <c:h val="6.9462088614387879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Лист1!$D$2:$D$10</c:f>
              <c:numCache>
                <c:formatCode>General</c:formatCode>
                <c:ptCount val="9"/>
                <c:pt idx="0">
                  <c:v>411</c:v>
                </c:pt>
                <c:pt idx="1">
                  <c:v>78</c:v>
                </c:pt>
                <c:pt idx="2">
                  <c:v>48</c:v>
                </c:pt>
                <c:pt idx="3">
                  <c:v>20</c:v>
                </c:pt>
                <c:pt idx="4">
                  <c:v>16</c:v>
                </c:pt>
                <c:pt idx="5">
                  <c:v>23</c:v>
                </c:pt>
                <c:pt idx="7">
                  <c:v>2</c:v>
                </c:pt>
              </c:numCache>
            </c:numRef>
          </c:val>
        </c:ser>
        <c:dLbls>
          <c:showLegendKey val="0"/>
          <c:showVal val="0"/>
          <c:showCatName val="0"/>
          <c:showSerName val="0"/>
          <c:showPercent val="0"/>
          <c:showBubbleSize val="0"/>
        </c:dLbls>
        <c:gapWidth val="150"/>
        <c:axId val="342755400"/>
        <c:axId val="342755008"/>
      </c:barChart>
      <c:catAx>
        <c:axId val="342755400"/>
        <c:scaling>
          <c:orientation val="minMax"/>
        </c:scaling>
        <c:delete val="0"/>
        <c:axPos val="b"/>
        <c:numFmt formatCode="General" sourceLinked="0"/>
        <c:majorTickMark val="out"/>
        <c:minorTickMark val="none"/>
        <c:tickLblPos val="nextTo"/>
        <c:txPr>
          <a:bodyPr rot="-5400000" vert="horz"/>
          <a:lstStyle/>
          <a:p>
            <a:pPr>
              <a:defRPr baseline="0">
                <a:latin typeface="Times New Roman" pitchFamily="18" charset="0"/>
              </a:defRPr>
            </a:pPr>
            <a:endParaRPr lang="ru-RU"/>
          </a:p>
        </c:txPr>
        <c:crossAx val="342755008"/>
        <c:crosses val="autoZero"/>
        <c:auto val="1"/>
        <c:lblAlgn val="ctr"/>
        <c:lblOffset val="100"/>
        <c:noMultiLvlLbl val="0"/>
      </c:catAx>
      <c:valAx>
        <c:axId val="342755008"/>
        <c:scaling>
          <c:orientation val="minMax"/>
        </c:scaling>
        <c:delete val="0"/>
        <c:axPos val="l"/>
        <c:majorGridlines/>
        <c:numFmt formatCode="General" sourceLinked="1"/>
        <c:majorTickMark val="out"/>
        <c:minorTickMark val="none"/>
        <c:tickLblPos val="nextTo"/>
        <c:crossAx val="342755400"/>
        <c:crosses val="autoZero"/>
        <c:crossBetween val="between"/>
        <c:majorUnit val="50"/>
      </c:valAx>
    </c:plotArea>
    <c:legend>
      <c:legendPos val="b"/>
      <c:overlay val="0"/>
    </c:legend>
    <c:plotVisOnly val="1"/>
    <c:dispBlanksAs val="gap"/>
    <c:showDLblsOverMax val="0"/>
  </c:chart>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наложено штрафов</c:v>
                </c:pt>
                <c:pt idx="1">
                  <c:v>взыскано</c:v>
                </c:pt>
              </c:strCache>
            </c:strRef>
          </c:cat>
          <c:val>
            <c:numRef>
              <c:f>Лист1!$B$2:$B$3</c:f>
              <c:numCache>
                <c:formatCode>General</c:formatCode>
                <c:ptCount val="2"/>
                <c:pt idx="0">
                  <c:v>379900</c:v>
                </c:pt>
                <c:pt idx="1">
                  <c:v>351579</c:v>
                </c:pt>
              </c:numCache>
            </c:numRef>
          </c:val>
          <c:extLst xmlns:c16r2="http://schemas.microsoft.com/office/drawing/2015/06/chart">
            <c:ext xmlns:c16="http://schemas.microsoft.com/office/drawing/2014/chart" uri="{C3380CC4-5D6E-409C-BE32-E72D297353CC}">
              <c16:uniqueId val="{00000000-B5D3-4BF3-A125-85766BB4A2A8}"/>
            </c:ext>
          </c:extLst>
        </c:ser>
        <c:ser>
          <c:idx val="1"/>
          <c:order val="1"/>
          <c:tx>
            <c:strRef>
              <c:f>Лист1!$C$1</c:f>
              <c:strCache>
                <c:ptCount val="1"/>
                <c:pt idx="0">
                  <c:v>2020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наложено штрафов</c:v>
                </c:pt>
                <c:pt idx="1">
                  <c:v>взыскано</c:v>
                </c:pt>
              </c:strCache>
            </c:strRef>
          </c:cat>
          <c:val>
            <c:numRef>
              <c:f>Лист1!$C$2:$C$3</c:f>
              <c:numCache>
                <c:formatCode>General</c:formatCode>
                <c:ptCount val="2"/>
                <c:pt idx="0">
                  <c:v>656680</c:v>
                </c:pt>
                <c:pt idx="1">
                  <c:v>227800</c:v>
                </c:pt>
              </c:numCache>
            </c:numRef>
          </c:val>
          <c:extLst xmlns:c16r2="http://schemas.microsoft.com/office/drawing/2015/06/chart">
            <c:ext xmlns:c16="http://schemas.microsoft.com/office/drawing/2014/chart" uri="{C3380CC4-5D6E-409C-BE32-E72D297353CC}">
              <c16:uniqueId val="{00000001-B5D3-4BF3-A125-85766BB4A2A8}"/>
            </c:ext>
          </c:extLst>
        </c:ser>
        <c:ser>
          <c:idx val="2"/>
          <c:order val="2"/>
          <c:tx>
            <c:strRef>
              <c:f>Лист1!$D$1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наложено штрафов</c:v>
                </c:pt>
                <c:pt idx="1">
                  <c:v>взыскано</c:v>
                </c:pt>
              </c:strCache>
            </c:strRef>
          </c:cat>
          <c:val>
            <c:numRef>
              <c:f>Лист1!$D$2:$D$3</c:f>
              <c:numCache>
                <c:formatCode>General</c:formatCode>
                <c:ptCount val="2"/>
                <c:pt idx="0">
                  <c:v>401900</c:v>
                </c:pt>
                <c:pt idx="1">
                  <c:v>388344</c:v>
                </c:pt>
              </c:numCache>
            </c:numRef>
          </c:val>
        </c:ser>
        <c:dLbls>
          <c:showLegendKey val="0"/>
          <c:showVal val="0"/>
          <c:showCatName val="0"/>
          <c:showSerName val="0"/>
          <c:showPercent val="0"/>
          <c:showBubbleSize val="0"/>
        </c:dLbls>
        <c:gapWidth val="150"/>
        <c:axId val="342754224"/>
        <c:axId val="342752656"/>
      </c:barChart>
      <c:catAx>
        <c:axId val="342754224"/>
        <c:scaling>
          <c:orientation val="minMax"/>
        </c:scaling>
        <c:delete val="0"/>
        <c:axPos val="b"/>
        <c:numFmt formatCode="General" sourceLinked="0"/>
        <c:majorTickMark val="out"/>
        <c:minorTickMark val="none"/>
        <c:tickLblPos val="nextTo"/>
        <c:crossAx val="342752656"/>
        <c:crosses val="autoZero"/>
        <c:auto val="1"/>
        <c:lblAlgn val="ctr"/>
        <c:lblOffset val="100"/>
        <c:noMultiLvlLbl val="0"/>
      </c:catAx>
      <c:valAx>
        <c:axId val="342752656"/>
        <c:scaling>
          <c:orientation val="minMax"/>
        </c:scaling>
        <c:delete val="0"/>
        <c:axPos val="l"/>
        <c:majorGridlines/>
        <c:numFmt formatCode="General" sourceLinked="1"/>
        <c:majorTickMark val="out"/>
        <c:minorTickMark val="none"/>
        <c:tickLblPos val="nextTo"/>
        <c:crossAx val="342754224"/>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43093224458053"/>
          <c:y val="3.0831228624714786E-2"/>
          <c:w val="0.70977362204724415"/>
          <c:h val="0.4967272158433465"/>
        </c:manualLayout>
      </c:layout>
      <c:barChart>
        <c:barDir val="col"/>
        <c:grouping val="clustered"/>
        <c:varyColors val="0"/>
        <c:ser>
          <c:idx val="0"/>
          <c:order val="0"/>
          <c:tx>
            <c:strRef>
              <c:f>Лист1!$B$1</c:f>
              <c:strCache>
                <c:ptCount val="1"/>
                <c:pt idx="0">
                  <c:v>2019 г.</c:v>
                </c:pt>
              </c:strCache>
            </c:strRef>
          </c:tx>
          <c:invertIfNegative val="0"/>
          <c:dLbls>
            <c:dLbl>
              <c:idx val="0"/>
              <c:layout>
                <c:manualLayout>
                  <c:x val="-1.251012137772883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882E-3"/>
                  <c:y val="-2.80603266089448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3850790677597E-2"/>
                  <c:y val="3.058103975535168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678471909073039E-2"/>
                  <c:y val="-1.12242047725686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A9-40FC-97CB-B1A1D797BBFF}"/>
                </c:ext>
                <c:ext xmlns:c15="http://schemas.microsoft.com/office/drawing/2012/chart" uri="{CE6537A1-D6FC-4f65-9D91-7224C49458BB}"/>
              </c:extLst>
            </c:dLbl>
            <c:dLbl>
              <c:idx val="4"/>
              <c:layout>
                <c:manualLayout>
                  <c:x val="-6.1728395061728392E-3"/>
                  <c:y val="1.68361959653669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38-4E80-A055-662435E4934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Лист1!$B$3:$B$10</c:f>
              <c:numCache>
                <c:formatCode>General</c:formatCode>
                <c:ptCount val="8"/>
                <c:pt idx="0">
                  <c:v>46</c:v>
                </c:pt>
                <c:pt idx="1">
                  <c:v>3</c:v>
                </c:pt>
                <c:pt idx="2">
                  <c:v>11</c:v>
                </c:pt>
                <c:pt idx="3">
                  <c:v>2.6</c:v>
                </c:pt>
                <c:pt idx="4">
                  <c:v>2.6</c:v>
                </c:pt>
                <c:pt idx="5">
                  <c:v>4</c:v>
                </c:pt>
                <c:pt idx="6">
                  <c:v>1</c:v>
                </c:pt>
              </c:numCache>
            </c:numRef>
          </c:val>
          <c:extLst xmlns:c16r2="http://schemas.microsoft.com/office/drawing/2015/06/chart">
            <c:ext xmlns:c16="http://schemas.microsoft.com/office/drawing/2014/chart" uri="{C3380CC4-5D6E-409C-BE32-E72D297353CC}">
              <c16:uniqueId val="{00000000-9987-42F4-A7D7-62EA9C569688}"/>
            </c:ext>
          </c:extLst>
        </c:ser>
        <c:ser>
          <c:idx val="1"/>
          <c:order val="1"/>
          <c:tx>
            <c:strRef>
              <c:f>Лист1!$C$1</c:f>
              <c:strCache>
                <c:ptCount val="1"/>
                <c:pt idx="0">
                  <c:v>2020 г.</c:v>
                </c:pt>
              </c:strCache>
            </c:strRef>
          </c:tx>
          <c:invertIfNegative val="0"/>
          <c:dLbls>
            <c:dLbl>
              <c:idx val="2"/>
              <c:layout>
                <c:manualLayout>
                  <c:x val="-6.1408843718323758E-3"/>
                  <c:y val="3.29504683474198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A9-40FC-97CB-B1A1D797BBFF}"/>
                </c:ext>
                <c:ext xmlns:c15="http://schemas.microsoft.com/office/drawing/2012/chart" uri="{CE6537A1-D6FC-4f65-9D91-7224C49458BB}"/>
              </c:extLst>
            </c:dLbl>
            <c:dLbl>
              <c:idx val="3"/>
              <c:layout>
                <c:manualLayout>
                  <c:x val="0"/>
                  <c:y val="1.79305774029140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Лист1!$C$3:$C$10</c:f>
              <c:numCache>
                <c:formatCode>General</c:formatCode>
                <c:ptCount val="8"/>
                <c:pt idx="0">
                  <c:v>47</c:v>
                </c:pt>
                <c:pt idx="1">
                  <c:v>3</c:v>
                </c:pt>
                <c:pt idx="2">
                  <c:v>11</c:v>
                </c:pt>
                <c:pt idx="3">
                  <c:v>2.5</c:v>
                </c:pt>
                <c:pt idx="4">
                  <c:v>3.5</c:v>
                </c:pt>
                <c:pt idx="5">
                  <c:v>2</c:v>
                </c:pt>
                <c:pt idx="6">
                  <c:v>0</c:v>
                </c:pt>
              </c:numCache>
            </c:numRef>
          </c:val>
          <c:extLst xmlns:c16r2="http://schemas.microsoft.com/office/drawing/2015/06/chart">
            <c:ext xmlns:c16="http://schemas.microsoft.com/office/drawing/2014/chart" uri="{C3380CC4-5D6E-409C-BE32-E72D297353CC}">
              <c16:uniqueId val="{00000001-9987-42F4-A7D7-62EA9C569688}"/>
            </c:ext>
          </c:extLst>
        </c:ser>
        <c:ser>
          <c:idx val="2"/>
          <c:order val="2"/>
          <c:tx>
            <c:strRef>
              <c:f>Лист1!$D$1</c:f>
              <c:strCache>
                <c:ptCount val="1"/>
                <c:pt idx="0">
                  <c:v>2018г.</c:v>
                </c:pt>
              </c:strCache>
            </c:strRef>
          </c:tx>
          <c:invertIfNegative val="0"/>
          <c:dLbls>
            <c:dLbl>
              <c:idx val="0"/>
              <c:layout>
                <c:manualLayout>
                  <c:x val="1.7201416894377115E-2"/>
                  <c:y val="5.123022115118340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188258610805191E-3"/>
                  <c:y val="-1.53690663453550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8737151248164461E-3"/>
                  <c:y val="-3.0581039755351737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3.7379798890777409E-3"/>
                  <c:y val="-6.1476317753858749E-2"/>
                </c:manualLayout>
              </c:layout>
              <c:showLegendKey val="0"/>
              <c:showVal val="1"/>
              <c:showCatName val="0"/>
              <c:showSerName val="0"/>
              <c:showPercent val="0"/>
              <c:showBubbleSize val="0"/>
              <c:extLst>
                <c:ext xmlns:c15="http://schemas.microsoft.com/office/drawing/2012/chart" uri="{CE6537A1-D6FC-4f65-9D91-7224C49458BB}">
                  <c15:layout>
                    <c:manualLayout>
                      <c:w val="5.8228095937347027E-2"/>
                      <c:h val="7.6376267186785141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Лист1!$D$3:$D$10</c:f>
              <c:numCache>
                <c:formatCode>General</c:formatCode>
                <c:ptCount val="8"/>
                <c:pt idx="0">
                  <c:v>45</c:v>
                </c:pt>
                <c:pt idx="1">
                  <c:v>4</c:v>
                </c:pt>
                <c:pt idx="2">
                  <c:v>9</c:v>
                </c:pt>
                <c:pt idx="3">
                  <c:v>2.9</c:v>
                </c:pt>
                <c:pt idx="4">
                  <c:v>3.2</c:v>
                </c:pt>
                <c:pt idx="5">
                  <c:v>5</c:v>
                </c:pt>
                <c:pt idx="6">
                  <c:v>0</c:v>
                </c:pt>
              </c:numCache>
            </c:numRef>
          </c:val>
        </c:ser>
        <c:dLbls>
          <c:showLegendKey val="0"/>
          <c:showVal val="0"/>
          <c:showCatName val="0"/>
          <c:showSerName val="0"/>
          <c:showPercent val="0"/>
          <c:showBubbleSize val="0"/>
        </c:dLbls>
        <c:gapWidth val="150"/>
        <c:axId val="342751872"/>
        <c:axId val="342753048"/>
      </c:barChart>
      <c:catAx>
        <c:axId val="342751872"/>
        <c:scaling>
          <c:orientation val="minMax"/>
        </c:scaling>
        <c:delete val="0"/>
        <c:axPos val="b"/>
        <c:numFmt formatCode="General" sourceLinked="0"/>
        <c:majorTickMark val="out"/>
        <c:minorTickMark val="none"/>
        <c:tickLblPos val="nextTo"/>
        <c:crossAx val="342753048"/>
        <c:crosses val="autoZero"/>
        <c:auto val="1"/>
        <c:lblAlgn val="ctr"/>
        <c:lblOffset val="100"/>
        <c:noMultiLvlLbl val="0"/>
      </c:catAx>
      <c:valAx>
        <c:axId val="342753048"/>
        <c:scaling>
          <c:orientation val="minMax"/>
        </c:scaling>
        <c:delete val="0"/>
        <c:axPos val="l"/>
        <c:majorGridlines/>
        <c:numFmt formatCode="General" sourceLinked="1"/>
        <c:majorTickMark val="out"/>
        <c:minorTickMark val="none"/>
        <c:tickLblPos val="nextTo"/>
        <c:crossAx val="342751872"/>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Исянбаева Луиза Хайдаровна</dc:creator>
  <cp:keywords/>
  <dc:description/>
  <cp:lastModifiedBy>Исянбаева Луиза Хайдаровна</cp:lastModifiedBy>
  <cp:revision>2</cp:revision>
  <dcterms:created xsi:type="dcterms:W3CDTF">2021-03-15T05:08:00Z</dcterms:created>
  <dcterms:modified xsi:type="dcterms:W3CDTF">2021-03-15T05:45:00Z</dcterms:modified>
</cp:coreProperties>
</file>