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D80D9" w14:textId="77777777" w:rsidR="004F67E7" w:rsidRDefault="004F67E7" w:rsidP="004F67E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№1</w:t>
      </w:r>
    </w:p>
    <w:p w14:paraId="0054E45F" w14:textId="77777777" w:rsidR="004F67E7" w:rsidRDefault="004F67E7" w:rsidP="004F67E7">
      <w:pPr>
        <w:autoSpaceDE w:val="0"/>
        <w:autoSpaceDN w:val="0"/>
        <w:adjustRightInd w:val="0"/>
        <w:spacing w:before="120"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УТВЕРЖДЕНО </w:t>
      </w:r>
    </w:p>
    <w:p w14:paraId="53C9B454" w14:textId="77777777" w:rsidR="004F67E7" w:rsidRDefault="004F67E7" w:rsidP="004F67E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решением территориальной избирательной комиссии городского округа город Салават Республики Башкортостан </w:t>
      </w:r>
    </w:p>
    <w:p w14:paraId="7C17CD9C" w14:textId="40ED6760" w:rsidR="004F67E7" w:rsidRDefault="004F67E7" w:rsidP="004F67E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</w:t>
      </w:r>
      <w:r w:rsidR="00D73775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июня 2024 года № </w:t>
      </w:r>
      <w:r w:rsidR="009A65D0">
        <w:rPr>
          <w:rFonts w:ascii="Times New Roman" w:hAnsi="Times New Roman"/>
          <w:color w:val="000000"/>
          <w:sz w:val="24"/>
          <w:szCs w:val="24"/>
        </w:rPr>
        <w:t>122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D73775">
        <w:rPr>
          <w:rFonts w:ascii="Times New Roman" w:hAnsi="Times New Roman"/>
          <w:color w:val="000000"/>
          <w:sz w:val="24"/>
          <w:szCs w:val="24"/>
        </w:rPr>
        <w:t>7</w:t>
      </w:r>
      <w:r w:rsidRPr="00D73775">
        <w:rPr>
          <w:rFonts w:ascii="Times New Roman" w:hAnsi="Times New Roman"/>
          <w:sz w:val="24"/>
          <w:szCs w:val="24"/>
        </w:rPr>
        <w:t>-5</w:t>
      </w:r>
    </w:p>
    <w:p w14:paraId="3837D2C2" w14:textId="77777777" w:rsidR="004F67E7" w:rsidRDefault="004F67E7" w:rsidP="004F6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09D2455" w14:textId="77777777" w:rsidR="004F67E7" w:rsidRPr="003A6894" w:rsidRDefault="004F67E7" w:rsidP="004F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89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Положение</w:t>
      </w:r>
    </w:p>
    <w:p w14:paraId="3A111A9D" w14:textId="77777777" w:rsidR="00154ADC" w:rsidRPr="003A6894" w:rsidRDefault="00154ADC" w:rsidP="0015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689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рабочей группе по приему и проверке документов, </w:t>
      </w:r>
    </w:p>
    <w:p w14:paraId="0226C41E" w14:textId="026D66E5" w:rsidR="00154ADC" w:rsidRPr="003A6894" w:rsidRDefault="00154ADC" w:rsidP="0015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689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представляемых в территориальную избирательную комиссию при проведении выборов депутатов </w:t>
      </w:r>
      <w:r w:rsidRPr="003A6894">
        <w:rPr>
          <w:rFonts w:ascii="Times New Roman" w:hAnsi="Times New Roman"/>
          <w:b/>
          <w:color w:val="000000"/>
          <w:sz w:val="28"/>
          <w:szCs w:val="28"/>
        </w:rPr>
        <w:t>Совета городского округа город Салават Республики Башкортостан шестого созыва</w:t>
      </w:r>
    </w:p>
    <w:p w14:paraId="3787B223" w14:textId="77777777" w:rsidR="004F67E7" w:rsidRPr="00154ADC" w:rsidRDefault="004F67E7" w:rsidP="004F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C9B9B6" w14:textId="77777777" w:rsidR="004F67E7" w:rsidRDefault="004F67E7" w:rsidP="004F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E66285" w14:textId="77777777" w:rsidR="004F67E7" w:rsidRPr="003A6894" w:rsidRDefault="004F67E7" w:rsidP="004F67E7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894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14:paraId="055E5546" w14:textId="77777777" w:rsidR="004F67E7" w:rsidRDefault="004F67E7" w:rsidP="00E47AB3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FA0073" w14:textId="000FCEA5" w:rsidR="004F67E7" w:rsidRPr="00690B34" w:rsidRDefault="004F67E7" w:rsidP="00E47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группа по приему и проверке </w:t>
      </w:r>
      <w:r w:rsidR="00690B34" w:rsidRPr="00154ADC">
        <w:rPr>
          <w:rFonts w:ascii="Times New Roman" w:hAnsi="Times New Roman"/>
          <w:bCs/>
          <w:color w:val="000000"/>
          <w:sz w:val="28"/>
          <w:szCs w:val="28"/>
        </w:rPr>
        <w:t>документов,</w:t>
      </w:r>
      <w:r w:rsidR="00690B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90B34" w:rsidRPr="00154ADC">
        <w:rPr>
          <w:rFonts w:ascii="Times New Roman" w:hAnsi="Times New Roman"/>
          <w:bCs/>
          <w:color w:val="000000"/>
          <w:sz w:val="28"/>
          <w:szCs w:val="28"/>
        </w:rPr>
        <w:t xml:space="preserve">представляемых в территориальную избирательную комиссию при проведении выборов депутатов </w:t>
      </w:r>
      <w:r w:rsidR="00690B34" w:rsidRPr="00154ADC">
        <w:rPr>
          <w:rFonts w:ascii="Times New Roman" w:hAnsi="Times New Roman"/>
          <w:color w:val="000000"/>
          <w:sz w:val="28"/>
          <w:szCs w:val="28"/>
        </w:rPr>
        <w:t>Совета городского округа город Салават Республики Башкортостан шестого созыва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Рабочая группа), в своей деятельности руководствуется Федеральным законом «Об основных гарантиях избирательных прав и права на участие в референдуме граждан Российской Федерации» (далее – Федеральный закон), Федеральным законом «О персональных данных», Федеральным законом «О Государственной автоматизированной системе Российской Федерации «Выборы», иными федеральными законами, Кодексом Республики Башкортостан о выборах (далее – Кодекс), нормативными актами Центральной избирательной комиссии Российской Федерации (далее – ЦИК России), постановлениями </w:t>
      </w:r>
      <w:bookmarkStart w:id="0" w:name="_Hlk136439620"/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Республики Башкортостан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ЦИК РБ), настоящим Положением.</w:t>
      </w:r>
    </w:p>
    <w:p w14:paraId="27F00116" w14:textId="6BE3A67E" w:rsidR="004F67E7" w:rsidRDefault="004F67E7" w:rsidP="00E47A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1.2. Рабочая группа создается из числа членов </w:t>
      </w:r>
      <w:bookmarkStart w:id="1" w:name="_Hlk169187269"/>
      <w:r w:rsidR="00690B34">
        <w:rPr>
          <w:rFonts w:ascii="Times New Roman" w:eastAsia="Times New Roman" w:hAnsi="Times New Roman"/>
          <w:sz w:val="28"/>
          <w:szCs w:val="20"/>
          <w:lang w:eastAsia="ru-RU"/>
        </w:rPr>
        <w:t>территориальной</w:t>
      </w:r>
      <w:bookmarkEnd w:id="1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избирательной комиссии. </w:t>
      </w:r>
    </w:p>
    <w:p w14:paraId="3D668382" w14:textId="66713956" w:rsidR="004F67E7" w:rsidRDefault="004F67E7" w:rsidP="00E47A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1.3. Состав Рабочей группы утверждается решением </w:t>
      </w:r>
      <w:r w:rsidR="00690B34">
        <w:rPr>
          <w:rFonts w:ascii="Times New Roman" w:eastAsia="Times New Roman" w:hAnsi="Times New Roman"/>
          <w:sz w:val="28"/>
          <w:szCs w:val="20"/>
          <w:lang w:eastAsia="ru-RU"/>
        </w:rPr>
        <w:t>территориальной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избирательной комиссии.</w:t>
      </w:r>
    </w:p>
    <w:p w14:paraId="20CFD5E4" w14:textId="77777777" w:rsidR="004F67E7" w:rsidRDefault="004F67E7" w:rsidP="00E47A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1.4.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 (далее – ГАС «Выборы»). </w:t>
      </w:r>
    </w:p>
    <w:p w14:paraId="604D4020" w14:textId="77777777" w:rsidR="004F67E7" w:rsidRDefault="004F67E7" w:rsidP="00E47A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1.5. 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«Выборы», обязаны неукоснительно соблюдать требования Федерального закона «О Государственной автоматизированной системе Российской Федерации «Выборы», Федерального закона «О персональных данных», нормативных актов ЦИК России и </w:t>
      </w:r>
      <w:r>
        <w:rPr>
          <w:rFonts w:ascii="Times New Roman" w:eastAsia="Times New Roman" w:hAnsi="Times New Roman"/>
          <w:bCs/>
          <w:kern w:val="36"/>
          <w:sz w:val="28"/>
          <w:szCs w:val="20"/>
          <w:lang w:eastAsia="ru-RU"/>
        </w:rPr>
        <w:t xml:space="preserve">федерального государственного казенного учреждения </w:t>
      </w:r>
      <w:r>
        <w:rPr>
          <w:rFonts w:ascii="Times New Roman" w:eastAsia="Times New Roman" w:hAnsi="Times New Roman"/>
          <w:bCs/>
          <w:kern w:val="36"/>
          <w:sz w:val="28"/>
          <w:szCs w:val="20"/>
          <w:lang w:eastAsia="ru-RU"/>
        </w:rPr>
        <w:lastRenderedPageBreak/>
        <w:t>«Федеральный центр информатизации при Центральной избирательной комиссии Российской Федерации»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 части, касающейся обращения с базами данных, персональными (конфиденциальными) данными об избирателях, кандидатах, иных участниках избирательного процесса.</w:t>
      </w:r>
    </w:p>
    <w:p w14:paraId="0EA20397" w14:textId="5E9B436E" w:rsidR="004F67E7" w:rsidRDefault="004F67E7" w:rsidP="00E47A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1.6. Рабочая группа организует работу по приему и проверке избирательных документов, представляемых кандидатами в </w:t>
      </w:r>
      <w:r w:rsidR="00690B34">
        <w:rPr>
          <w:rFonts w:ascii="Times New Roman" w:eastAsia="Times New Roman" w:hAnsi="Times New Roman"/>
          <w:sz w:val="28"/>
          <w:szCs w:val="20"/>
          <w:lang w:eastAsia="ru-RU"/>
        </w:rPr>
        <w:t>территориальную избирательную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комиссию на бумажном носителе и в машиночитаемом виде. По результатам своей работы Рабочая группа готовит и вносит на рассмотрение </w:t>
      </w:r>
      <w:r w:rsidR="00690B34">
        <w:rPr>
          <w:rFonts w:ascii="Times New Roman" w:eastAsia="Times New Roman" w:hAnsi="Times New Roman"/>
          <w:sz w:val="28"/>
          <w:szCs w:val="20"/>
          <w:lang w:eastAsia="ru-RU"/>
        </w:rPr>
        <w:t>территориальной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избирательной комиссии проекты соответствующих решений.</w:t>
      </w:r>
    </w:p>
    <w:p w14:paraId="0576B845" w14:textId="77777777" w:rsidR="00E47AB3" w:rsidRDefault="00E47AB3" w:rsidP="00E47A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F7FD4E0" w14:textId="5D2AAD6B" w:rsidR="00E47AB3" w:rsidRPr="00CD553C" w:rsidRDefault="00E47AB3" w:rsidP="00E47AB3">
      <w:pPr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  <w:t xml:space="preserve">                                  2. </w:t>
      </w:r>
      <w:r w:rsidRPr="00CD553C"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  <w:t>Задачи и полномочия Рабочей группы</w:t>
      </w:r>
    </w:p>
    <w:p w14:paraId="0616524C" w14:textId="77777777" w:rsidR="00E47AB3" w:rsidRPr="00CD553C" w:rsidRDefault="00E47AB3" w:rsidP="00E47AB3">
      <w:pPr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</w:pPr>
    </w:p>
    <w:p w14:paraId="215FD493" w14:textId="77777777" w:rsidR="00E47AB3" w:rsidRPr="00CD553C" w:rsidRDefault="00E47AB3" w:rsidP="00E47A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ab/>
        <w:t>2.1 Задачами Рабочей группы являются: прием документов, представляемых кандидатами, уполномоченными представителями, проверка их соответствия требованиям Федерального закона, Кодекса,</w:t>
      </w:r>
      <w:r w:rsidRPr="00CD553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проверка соблюдения требований Федерального закона при самовыдвижении кандидатов и представлении кандидатами, выдвинутыми избирательными объединениями по одномандатным избирательным округам и в порядке самовыдвижения, документов в Комиссию, подготовка соответствующих проектов решений Комиссии.</w:t>
      </w:r>
    </w:p>
    <w:p w14:paraId="746AD042" w14:textId="77777777" w:rsidR="00E47AB3" w:rsidRPr="00CD553C" w:rsidRDefault="00E47AB3" w:rsidP="00E47AB3">
      <w:pPr>
        <w:widowControl w:val="0"/>
        <w:numPr>
          <w:ilvl w:val="1"/>
          <w:numId w:val="8"/>
        </w:num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Для реализации этих задач Рабочая группа:</w:t>
      </w:r>
    </w:p>
    <w:p w14:paraId="40C47168" w14:textId="77777777" w:rsidR="00E47AB3" w:rsidRPr="00CD553C" w:rsidRDefault="00E47AB3" w:rsidP="00E47AB3">
      <w:pPr>
        <w:widowControl w:val="0"/>
        <w:numPr>
          <w:ilvl w:val="2"/>
          <w:numId w:val="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Принимает документы, представляемые в Комиссию уполномоченным представителем избирательного объединения по выдвижению кандидатов по одномандатным избирательным округам.</w:t>
      </w:r>
    </w:p>
    <w:p w14:paraId="4B3F7F51" w14:textId="494BD5DC" w:rsidR="00E47AB3" w:rsidRPr="00CD553C" w:rsidRDefault="00E47AB3" w:rsidP="00E47AB3">
      <w:pPr>
        <w:widowControl w:val="0"/>
        <w:numPr>
          <w:ilvl w:val="2"/>
          <w:numId w:val="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 xml:space="preserve">Принимает документы, представляемые в Комиссию кандидатом </w:t>
      </w:r>
      <w:r w:rsidRPr="00CD553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 выдвижении (самовыдвижении) кандидата по соответствующему одномандатному избирательному округу</w:t>
      </w: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 xml:space="preserve">. </w:t>
      </w:r>
    </w:p>
    <w:p w14:paraId="5E042CC7" w14:textId="151B838A" w:rsidR="00E47AB3" w:rsidRPr="00CD553C" w:rsidRDefault="00E47AB3" w:rsidP="00E47AB3">
      <w:pPr>
        <w:widowControl w:val="0"/>
        <w:numPr>
          <w:ilvl w:val="2"/>
          <w:numId w:val="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 xml:space="preserve">Проверяет наличие документов, представленных на бумажном носителе и в машиночитаемом виде в соответствии с </w:t>
      </w:r>
      <w:bookmarkStart w:id="2" w:name="_GoBack"/>
      <w:bookmarkEnd w:id="2"/>
      <w:r w:rsidR="009A65D0"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требованиями статей</w:t>
      </w: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 xml:space="preserve"> 40, 43 и 44 Кодекса.</w:t>
      </w:r>
    </w:p>
    <w:p w14:paraId="6136ACC7" w14:textId="77777777" w:rsidR="00E47AB3" w:rsidRPr="00CD553C" w:rsidRDefault="00E47AB3" w:rsidP="00E47AB3">
      <w:pPr>
        <w:widowControl w:val="0"/>
        <w:numPr>
          <w:ilvl w:val="2"/>
          <w:numId w:val="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Проверяет соблюдение требований Федерального закона и Кодекса при само</w:t>
      </w:r>
      <w:r w:rsidRPr="00CD553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выдвижении кандидата и представлении кандидатом, выдвинутым избирательным объединением по одномандатному избирательному округу или в порядке самовыдвижения</w:t>
      </w:r>
      <w:r w:rsidRPr="00CD553C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</w:t>
      </w: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(иным уполномоченным лицом) (далее – кандидат (иное уполномоченное лицо), документов в Комиссию, а также достоверность сведений о кандидатах.</w:t>
      </w:r>
    </w:p>
    <w:p w14:paraId="098F2A02" w14:textId="77777777" w:rsidR="00E47AB3" w:rsidRPr="00CD553C" w:rsidRDefault="00E47AB3" w:rsidP="00E47AB3">
      <w:pPr>
        <w:widowControl w:val="0"/>
        <w:numPr>
          <w:ilvl w:val="2"/>
          <w:numId w:val="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 xml:space="preserve">Принимает от кандидата (иного уполномоченного лица) подписные листы с подписями избирателей, собранными в поддержку </w:t>
      </w:r>
      <w:r w:rsidRPr="00CD553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выдвижения (самовыдвижения) кандидата по одномандатному избирательному округу, список лиц, осуществлявших сбор подписей избирателей, и иные документы, представляемые для регистрации кандидата. Извещает кандидатов, представивших необходимое количество подписей избирателей, о проведении проверки подписей.  </w:t>
      </w:r>
    </w:p>
    <w:p w14:paraId="544B4ECA" w14:textId="77777777" w:rsidR="00E47AB3" w:rsidRPr="00CD553C" w:rsidRDefault="00E47AB3" w:rsidP="00E47AB3">
      <w:pPr>
        <w:widowControl w:val="0"/>
        <w:numPr>
          <w:ilvl w:val="2"/>
          <w:numId w:val="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 xml:space="preserve">Проверяет соблюдение требований Федерального закона и Кодекса </w:t>
      </w: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lastRenderedPageBreak/>
        <w:t>к сбору подписей избирателей и оформлению подписных листов, достоверность сведений об избирателях, внесших в них свои подписи, а также достоверность этих подписей, составляет ведомость проверки подписных листов и готовит итоговый протокол проверки подписных листов.</w:t>
      </w:r>
    </w:p>
    <w:p w14:paraId="681A80D5" w14:textId="77777777" w:rsidR="00E47AB3" w:rsidRPr="00CD553C" w:rsidRDefault="00E47AB3" w:rsidP="00E47AB3">
      <w:pPr>
        <w:widowControl w:val="0"/>
        <w:numPr>
          <w:ilvl w:val="2"/>
          <w:numId w:val="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Передает кандидату не позднее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листов.</w:t>
      </w:r>
    </w:p>
    <w:p w14:paraId="5BCD6955" w14:textId="77777777" w:rsidR="00E47AB3" w:rsidRPr="00CD553C" w:rsidRDefault="00E47AB3" w:rsidP="00E47AB3">
      <w:pPr>
        <w:widowControl w:val="0"/>
        <w:numPr>
          <w:ilvl w:val="2"/>
          <w:numId w:val="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Готовит документы для извещения кандидата Комиссией о выявлении неполноты сведений о кандидате, отсутствия каких-либо документов, предусмотренных Федеральным законом, Кодексом или несоблюдения требований Федерального закона, Кодекса к оформлению документов, представленных в Комиссию.</w:t>
      </w:r>
    </w:p>
    <w:p w14:paraId="724EC8AE" w14:textId="77777777" w:rsidR="00E47AB3" w:rsidRPr="00CD553C" w:rsidRDefault="00E47AB3" w:rsidP="00E47AB3">
      <w:pPr>
        <w:widowControl w:val="0"/>
        <w:numPr>
          <w:ilvl w:val="2"/>
          <w:numId w:val="8"/>
        </w:numPr>
        <w:tabs>
          <w:tab w:val="left" w:pos="162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Передает кандидату в случае наступления оснований, предусмотренных частью 14 статьи 49 Кодекса, не позднее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недействительными.</w:t>
      </w:r>
    </w:p>
    <w:p w14:paraId="53759D24" w14:textId="77777777" w:rsidR="00E47AB3" w:rsidRPr="00CD553C" w:rsidRDefault="00E47AB3" w:rsidP="00E47AB3">
      <w:pPr>
        <w:widowControl w:val="0"/>
        <w:numPr>
          <w:ilvl w:val="2"/>
          <w:numId w:val="8"/>
        </w:numPr>
        <w:tabs>
          <w:tab w:val="left" w:pos="162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Во взаимодействии с контрольно-ревизионной службой при Комиссии</w:t>
      </w:r>
      <w:r w:rsidRPr="00CD553C"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  <w:t xml:space="preserve"> </w:t>
      </w: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готовит проекты обращений в соответствующие органы с представлениями о проведении проверки достоверности сведений, представленных кандидатом.</w:t>
      </w:r>
    </w:p>
    <w:p w14:paraId="621A5780" w14:textId="77777777" w:rsidR="00E47AB3" w:rsidRPr="00CD553C" w:rsidRDefault="00E47AB3" w:rsidP="00E47AB3">
      <w:pPr>
        <w:widowControl w:val="0"/>
        <w:numPr>
          <w:ilvl w:val="2"/>
          <w:numId w:val="8"/>
        </w:numPr>
        <w:tabs>
          <w:tab w:val="left" w:pos="162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Принимает документы, необходимые для регистрации доверенных лиц кандидата, выдвинутого по одномандатному избирательному округу, уполномоченного представителя кандидата по финансовым вопросам.</w:t>
      </w:r>
    </w:p>
    <w:p w14:paraId="279BB925" w14:textId="77777777" w:rsidR="00E47AB3" w:rsidRPr="00CD553C" w:rsidRDefault="00E47AB3" w:rsidP="00E47AB3">
      <w:pPr>
        <w:widowControl w:val="0"/>
        <w:numPr>
          <w:ilvl w:val="2"/>
          <w:numId w:val="8"/>
        </w:numPr>
        <w:tabs>
          <w:tab w:val="left" w:pos="162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 xml:space="preserve">Принимает документы при назначении члена Комиссии с правом совещательного голоса от кандидата, представившего в Комиссию документы для регистрации, от избирательного объединения, выдвинувшего кандидата по одномандатному избирательному округу, представившего в Комиссию документы для регистрации.  </w:t>
      </w:r>
    </w:p>
    <w:p w14:paraId="1C1A8CA5" w14:textId="77777777" w:rsidR="00E47AB3" w:rsidRPr="00CD553C" w:rsidRDefault="00E47AB3" w:rsidP="00E47AB3">
      <w:pPr>
        <w:widowControl w:val="0"/>
        <w:numPr>
          <w:ilvl w:val="2"/>
          <w:numId w:val="8"/>
        </w:numPr>
        <w:tabs>
          <w:tab w:val="left" w:pos="162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Во взаимодействии с контрольно-ревизионной службой при Комиссии готовит к опубликованию в периодических печатных изданиях и на официальном сайте Центральной избирательной комиссии Республики Башкортостан в сети Интернет сведения о доходах и об имуществе кандидатов, зарегистрированных по одномандатным избирательным округам, иную информацию о кандидатах в порядке и объеме, предусмотренном нормативными актами Центральной избирательной комиссии Республики Башкортостан; к направлению в средства массовой информации сведения – о выявленных фактах недостоверности представленных кандидатами сведений.</w:t>
      </w:r>
    </w:p>
    <w:p w14:paraId="4192655E" w14:textId="77777777" w:rsidR="00E47AB3" w:rsidRPr="00CD553C" w:rsidRDefault="00E47AB3" w:rsidP="00E47AB3">
      <w:pPr>
        <w:widowControl w:val="0"/>
        <w:numPr>
          <w:ilvl w:val="2"/>
          <w:numId w:val="8"/>
        </w:numPr>
        <w:tabs>
          <w:tab w:val="left" w:pos="162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Готовит материалы, необходимые в случае обжалования решений Комиссии о регистрации либо об отказе в регистрации кандидатов, выдвинутых по одномандатным избирательным округам.</w:t>
      </w:r>
    </w:p>
    <w:p w14:paraId="28478F4E" w14:textId="77777777" w:rsidR="00E47AB3" w:rsidRPr="00CD553C" w:rsidRDefault="00E47AB3" w:rsidP="00E47AB3">
      <w:pPr>
        <w:widowControl w:val="0"/>
        <w:numPr>
          <w:ilvl w:val="2"/>
          <w:numId w:val="8"/>
        </w:numPr>
        <w:tabs>
          <w:tab w:val="left" w:pos="162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Готовит документы в связи с отказом кандидата от участия</w:t>
      </w: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br/>
        <w:t>в выборах, в связи с отзывом кандидата избирательным объединением.</w:t>
      </w:r>
    </w:p>
    <w:p w14:paraId="5C517A1A" w14:textId="77777777" w:rsidR="00E47AB3" w:rsidRPr="00CD553C" w:rsidRDefault="00E47AB3" w:rsidP="00E47AB3">
      <w:pPr>
        <w:widowControl w:val="0"/>
        <w:numPr>
          <w:ilvl w:val="2"/>
          <w:numId w:val="8"/>
        </w:numPr>
        <w:tabs>
          <w:tab w:val="left" w:pos="162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 xml:space="preserve">Готовит документы для прекращения полномочий </w:t>
      </w: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lastRenderedPageBreak/>
        <w:t>уполномоченного представителя кандидата по финансовым вопросам, аннулирования регистрации доверенных лиц кандидата в случае их отзыва кандидатом или сложения полномочий по собственной инициативе.</w:t>
      </w:r>
    </w:p>
    <w:p w14:paraId="3CC61E53" w14:textId="77777777" w:rsidR="00E47AB3" w:rsidRPr="00CD553C" w:rsidRDefault="00E47AB3" w:rsidP="00E47AB3">
      <w:pPr>
        <w:widowControl w:val="0"/>
        <w:numPr>
          <w:ilvl w:val="2"/>
          <w:numId w:val="8"/>
        </w:numPr>
        <w:tabs>
          <w:tab w:val="left" w:pos="162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Принимает иные документы, представляемые кандидатом (иным уполномоченным лицом).</w:t>
      </w:r>
    </w:p>
    <w:p w14:paraId="178618B1" w14:textId="77777777" w:rsidR="00E47AB3" w:rsidRPr="00CD553C" w:rsidRDefault="00E47AB3" w:rsidP="00E47AB3">
      <w:pPr>
        <w:widowControl w:val="0"/>
        <w:numPr>
          <w:ilvl w:val="2"/>
          <w:numId w:val="8"/>
        </w:numPr>
        <w:tabs>
          <w:tab w:val="left" w:pos="162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Выдает кандидату (иному уполномоченному лицу) документ, подтверждающий прием всех представленных в Комиссию документов, с указанием даты и времени начала и окончания приема.</w:t>
      </w:r>
    </w:p>
    <w:p w14:paraId="0E6DFD2B" w14:textId="77777777" w:rsidR="00E47AB3" w:rsidRPr="00CD553C" w:rsidRDefault="00E47AB3" w:rsidP="00E47AB3">
      <w:pPr>
        <w:widowControl w:val="0"/>
        <w:numPr>
          <w:ilvl w:val="2"/>
          <w:numId w:val="8"/>
        </w:numPr>
        <w:tabs>
          <w:tab w:val="left" w:pos="162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Готовит проекты решений Комиссии по направлениям деятельности Рабочей группы.</w:t>
      </w:r>
    </w:p>
    <w:p w14:paraId="2C961D4F" w14:textId="77777777" w:rsidR="00E47AB3" w:rsidRPr="00CD553C" w:rsidRDefault="00E47AB3" w:rsidP="00E47AB3">
      <w:pPr>
        <w:widowControl w:val="0"/>
        <w:numPr>
          <w:ilvl w:val="2"/>
          <w:numId w:val="8"/>
        </w:numPr>
        <w:tabs>
          <w:tab w:val="left" w:pos="162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Осуществляет иные полномочия в целях реализации возложенных на Рабочую группу задач.</w:t>
      </w:r>
    </w:p>
    <w:p w14:paraId="15EF2C81" w14:textId="6C515535" w:rsidR="00E47AB3" w:rsidRPr="00E47AB3" w:rsidRDefault="00E47AB3" w:rsidP="00E47AB3">
      <w:pPr>
        <w:pStyle w:val="a3"/>
        <w:widowControl w:val="0"/>
        <w:numPr>
          <w:ilvl w:val="0"/>
          <w:numId w:val="11"/>
        </w:numPr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</w:pPr>
      <w:r w:rsidRPr="00E47AB3"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  <w:t>Состав и организация деятельности Рабочей группы</w:t>
      </w:r>
    </w:p>
    <w:p w14:paraId="138B0B4F" w14:textId="2205D1D4" w:rsidR="00E47AB3" w:rsidRPr="00CD553C" w:rsidRDefault="002D2701" w:rsidP="00E47AB3">
      <w:pPr>
        <w:widowControl w:val="0"/>
        <w:numPr>
          <w:ilvl w:val="1"/>
          <w:numId w:val="10"/>
        </w:numPr>
        <w:tabs>
          <w:tab w:val="clear" w:pos="360"/>
          <w:tab w:val="left" w:pos="108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 xml:space="preserve">. </w:t>
      </w:r>
      <w:r w:rsidR="00E47AB3"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Состав Рабочей группы утверждается решением Комиссии. Из состава Рабочей группы назначаются руководитель Рабочей группы, заместитель руководителя Рабочей группы, являющиеся членами Комиссии. В состав Рабочей группы входят члены Комиссии с правом решающего голоса. В составе Рабочей группы могут быть образованы подгруппы по направлениям деятельности</w:t>
      </w:r>
      <w:r w:rsidR="00E47AB3" w:rsidRPr="00CD553C">
        <w:rPr>
          <w:rFonts w:ascii="Times New Roman" w:eastAsia="Times New Roman" w:hAnsi="Times New Roman" w:cs="Calibri"/>
          <w:i/>
          <w:kern w:val="3"/>
          <w:sz w:val="28"/>
          <w:szCs w:val="28"/>
          <w:lang w:eastAsia="ru-RU"/>
        </w:rPr>
        <w:t>.</w:t>
      </w:r>
    </w:p>
    <w:p w14:paraId="583DA340" w14:textId="00D7CD6F" w:rsidR="00E47AB3" w:rsidRPr="00CD553C" w:rsidRDefault="002D2701" w:rsidP="002D2701">
      <w:pPr>
        <w:widowControl w:val="0"/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 xml:space="preserve">3.2. </w:t>
      </w:r>
      <w:r w:rsidR="00E47AB3"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К деятельности Рабочей группы в соответствии с частью 3 статьи 49 Кодекса могут привлекаться эксперты из числа специалистов органов внутренних дел, учреждений юстиции, военных комиссариатов, органов регистрационного учета граждан Российской</w:t>
      </w:r>
      <w:r w:rsidR="00E47AB3"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br/>
        <w:t>Федерации по месту пребывания и по месту жительства в пределах Российской Федерации, иных государственных органов.</w:t>
      </w:r>
    </w:p>
    <w:p w14:paraId="4FACA803" w14:textId="67101161" w:rsidR="00E47AB3" w:rsidRPr="00CD553C" w:rsidRDefault="002D2701" w:rsidP="002D2701">
      <w:pPr>
        <w:widowControl w:val="0"/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 xml:space="preserve">3.3. </w:t>
      </w:r>
      <w:r w:rsidR="00E47AB3"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Для выполнения работ, осуществляемых Рабочей группой, могут привлекаться члены нижестоящих избирательных комиссий.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14:paraId="2DB66C28" w14:textId="77777777" w:rsidR="00E47AB3" w:rsidRPr="00CD553C" w:rsidRDefault="00E47AB3" w:rsidP="002D2701">
      <w:pPr>
        <w:widowControl w:val="0"/>
        <w:tabs>
          <w:tab w:val="left" w:pos="10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14:paraId="4A60180B" w14:textId="038DD01F" w:rsidR="00E47AB3" w:rsidRPr="00CD553C" w:rsidRDefault="002D2701" w:rsidP="002D2701">
      <w:pPr>
        <w:widowControl w:val="0"/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 xml:space="preserve">3.4. </w:t>
      </w:r>
      <w:r w:rsidR="00E47AB3"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 xml:space="preserve">Руководитель Рабочей группы проводит заседания Рабочей группы 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Комиссии с правом решающего голоса.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члены Комиссии с правом </w:t>
      </w:r>
      <w:r w:rsidR="00E47AB3"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lastRenderedPageBreak/>
        <w:t>совещательного голоса, кандидаты (иные уполномоченные лица), уполномоченные представители избирательных объединений. Решения Рабочей группы принимаются большинством голосов членов Рабочей группы.</w:t>
      </w:r>
    </w:p>
    <w:p w14:paraId="63872BD8" w14:textId="174FE29D" w:rsidR="00E47AB3" w:rsidRPr="00CD553C" w:rsidRDefault="002D2701" w:rsidP="002D2701">
      <w:pPr>
        <w:widowControl w:val="0"/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 xml:space="preserve">3.5. </w:t>
      </w:r>
      <w:r w:rsidR="00E47AB3"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t>Руководитель Рабочей группы или по его поручению заместитель руководителя Рабочей группы, или член рабочей группы – член Комиссии на заседании Комиссии представляет подготовленные на основании документов</w:t>
      </w:r>
      <w:r w:rsidR="00E47AB3" w:rsidRPr="00CD553C"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  <w:br/>
        <w:t>Рабочей группы проекты решений Комиссии. В отсутствие руководителя Рабочей группы его полномочия исполняет заместитель руководителя Рабочей группы.</w:t>
      </w:r>
    </w:p>
    <w:p w14:paraId="53A9F31B" w14:textId="77777777" w:rsidR="00E47AB3" w:rsidRPr="00CD553C" w:rsidRDefault="00E47AB3" w:rsidP="00E47A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kern w:val="3"/>
          <w:sz w:val="28"/>
          <w:szCs w:val="28"/>
          <w:lang w:eastAsia="ru-RU"/>
        </w:rPr>
      </w:pPr>
    </w:p>
    <w:p w14:paraId="06F54323" w14:textId="77777777" w:rsidR="004F67E7" w:rsidRDefault="004F67E7" w:rsidP="004F67E7"/>
    <w:p w14:paraId="0A1D4A51" w14:textId="77777777" w:rsidR="004F67E7" w:rsidRDefault="004F67E7" w:rsidP="004F67E7"/>
    <w:p w14:paraId="20B8CC89" w14:textId="77777777" w:rsidR="004F67E7" w:rsidRDefault="004F67E7" w:rsidP="004F67E7"/>
    <w:p w14:paraId="6C8B65B4" w14:textId="77777777" w:rsidR="004F67E7" w:rsidRDefault="004F67E7" w:rsidP="004F67E7"/>
    <w:p w14:paraId="3AC9A499" w14:textId="77777777" w:rsidR="004F67E7" w:rsidRDefault="004F67E7" w:rsidP="004F67E7"/>
    <w:p w14:paraId="64BC654F" w14:textId="77777777" w:rsidR="004F67E7" w:rsidRDefault="004F67E7" w:rsidP="004F67E7"/>
    <w:p w14:paraId="2A877ED6" w14:textId="77777777" w:rsidR="004F67E7" w:rsidRDefault="004F67E7" w:rsidP="004F67E7"/>
    <w:p w14:paraId="2B19AA3D" w14:textId="77777777" w:rsidR="004F67E7" w:rsidRDefault="004F67E7" w:rsidP="004F67E7"/>
    <w:p w14:paraId="77E6D955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A09"/>
    <w:multiLevelType w:val="hybridMultilevel"/>
    <w:tmpl w:val="9ED626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B2E"/>
    <w:multiLevelType w:val="hybridMultilevel"/>
    <w:tmpl w:val="DC4E2954"/>
    <w:lvl w:ilvl="0" w:tplc="E9309C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E2B6C"/>
    <w:multiLevelType w:val="multilevel"/>
    <w:tmpl w:val="F7203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alibri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Calibri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Calibri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Calibri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Calibri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Calibri"/>
      </w:rPr>
    </w:lvl>
  </w:abstractNum>
  <w:abstractNum w:abstractNumId="3" w15:restartNumberingAfterBreak="0">
    <w:nsid w:val="67561BFE"/>
    <w:multiLevelType w:val="hybridMultilevel"/>
    <w:tmpl w:val="1B70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CD7F7D"/>
    <w:multiLevelType w:val="multilevel"/>
    <w:tmpl w:val="7BC222BA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cs="Times New Roman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7A5F73B1"/>
    <w:multiLevelType w:val="multilevel"/>
    <w:tmpl w:val="203C291E"/>
    <w:styleLink w:val="WWNum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  <w:lvl w:ilvl="0">
        <w:start w:val="1"/>
        <w:numFmt w:val="decimal"/>
        <w:lvlText w:val="%1..."/>
        <w:lvlJc w:val="left"/>
        <w:pPr>
          <w:ind w:left="0" w:firstLine="0"/>
        </w:pPr>
        <w:rPr>
          <w:rFonts w:cs="Times New Roman"/>
        </w:rPr>
      </w:lvl>
    </w:lvlOverride>
    <w:lvlOverride w:ilvl="1">
      <w:startOverride w:val="2"/>
      <w:lvl w:ilvl="1">
        <w:start w:val="2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0" w:firstLine="0"/>
        </w:pPr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7">
    <w:abstractNumId w:val="0"/>
  </w:num>
  <w:num w:numId="8">
    <w:abstractNumId w:val="4"/>
    <w:lvlOverride w:ilvl="0">
      <w:lvl w:ilvl="0">
        <w:start w:val="1"/>
        <w:numFmt w:val="decimal"/>
        <w:lvlText w:val="%1..."/>
        <w:lvlJc w:val="left"/>
        <w:rPr>
          <w:rFonts w:cs="Times New Roman"/>
        </w:rPr>
      </w:lvl>
    </w:lvlOverride>
  </w:num>
  <w:num w:numId="9">
    <w:abstractNumId w:val="5"/>
    <w:lvlOverride w:ilvl="0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79"/>
    <w:rsid w:val="001453D4"/>
    <w:rsid w:val="00154ADC"/>
    <w:rsid w:val="002B4079"/>
    <w:rsid w:val="002D2701"/>
    <w:rsid w:val="003A6894"/>
    <w:rsid w:val="004F67E7"/>
    <w:rsid w:val="00690B34"/>
    <w:rsid w:val="009175B5"/>
    <w:rsid w:val="009A65D0"/>
    <w:rsid w:val="00CB58A0"/>
    <w:rsid w:val="00D73775"/>
    <w:rsid w:val="00E47AB3"/>
    <w:rsid w:val="00E5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BF7A"/>
  <w15:chartTrackingRefBased/>
  <w15:docId w15:val="{4ACA4581-D29A-46B9-8B53-A05CBB91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7E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5">
    <w:name w:val="WWNum5"/>
    <w:rsid w:val="003A6894"/>
    <w:pPr>
      <w:numPr>
        <w:numId w:val="2"/>
      </w:numPr>
    </w:pPr>
  </w:style>
  <w:style w:type="numbering" w:customStyle="1" w:styleId="WWNum4">
    <w:name w:val="WWNum4"/>
    <w:rsid w:val="003A6894"/>
    <w:pPr>
      <w:numPr>
        <w:numId w:val="5"/>
      </w:numPr>
    </w:pPr>
  </w:style>
  <w:style w:type="paragraph" w:styleId="a3">
    <w:name w:val="List Paragraph"/>
    <w:basedOn w:val="a"/>
    <w:uiPriority w:val="34"/>
    <w:qFormat/>
    <w:rsid w:val="003A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10</cp:revision>
  <dcterms:created xsi:type="dcterms:W3CDTF">2024-06-13T11:04:00Z</dcterms:created>
  <dcterms:modified xsi:type="dcterms:W3CDTF">2024-06-20T09:42:00Z</dcterms:modified>
</cp:coreProperties>
</file>